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hint="eastAsia" w:ascii="Arial" w:hAnsi="Arial" w:cs="Arial"/>
          <w:b/>
          <w:bCs/>
        </w:rPr>
        <w:t xml:space="preserve"> </w:t>
      </w:r>
      <w:r>
        <w:rPr>
          <w:rFonts w:hint="eastAsia" w:ascii="Arial" w:hAnsi="Arial" w:cs="Arial"/>
          <w:b/>
          <w:bCs/>
          <w:lang w:val="en-US" w:eastAsia="zh-CN"/>
        </w:rPr>
        <w:t xml:space="preserve">Meeting #90  </w:t>
      </w:r>
      <w:r>
        <w:rPr>
          <w:rFonts w:hint="eastAsia" w:ascii="Arial" w:hAnsi="Arial" w:cs="Arial"/>
          <w:b/>
          <w:bCs/>
        </w:rPr>
        <w:t xml:space="preserve">   </w:t>
      </w:r>
      <w:r>
        <w:rPr>
          <w:rFonts w:ascii="Arial" w:hAnsi="Arial" w:cs="Arial"/>
          <w:b/>
          <w:bCs/>
        </w:rPr>
        <w:t xml:space="preserve">                    </w:t>
      </w:r>
      <w:r>
        <w:rPr>
          <w:rFonts w:hint="eastAsia" w:ascii="Arial" w:hAnsi="Arial" w:cs="Arial"/>
          <w:b/>
          <w:bCs/>
        </w:rPr>
        <w:t xml:space="preserve">             </w:t>
      </w:r>
      <w:r>
        <w:rPr>
          <w:rFonts w:ascii="Arial" w:hAnsi="Arial" w:cs="Arial"/>
          <w:b/>
          <w:bCs/>
        </w:rPr>
        <w:t xml:space="preserve">                            </w:t>
      </w:r>
      <w:r>
        <w:rPr>
          <w:rFonts w:hint="eastAsia" w:ascii="Arial" w:hAnsi="Arial" w:cs="Arial"/>
          <w:b/>
          <w:bCs/>
        </w:rPr>
        <w:t xml:space="preserve"> </w:t>
      </w:r>
      <w:r>
        <w:rPr>
          <w:rFonts w:ascii="Arial" w:hAnsi="Arial" w:cs="Arial"/>
          <w:b/>
          <w:bCs/>
        </w:rPr>
        <w:t xml:space="preserve">        R1-1</w:t>
      </w:r>
      <w:r>
        <w:rPr>
          <w:rFonts w:hint="eastAsia" w:ascii="Arial" w:hAnsi="Arial" w:cs="Arial"/>
          <w:b/>
          <w:bCs/>
        </w:rPr>
        <w:t>71</w:t>
      </w:r>
      <w:r>
        <w:rPr>
          <w:rFonts w:hint="eastAsia" w:ascii="Arial" w:hAnsi="Arial" w:cs="Arial"/>
          <w:b/>
          <w:bCs/>
          <w:lang w:val="en-US" w:eastAsia="zh-CN"/>
        </w:rPr>
        <w:t>2317</w:t>
      </w:r>
    </w:p>
    <w:p>
      <w:pPr>
        <w:pStyle w:val="15"/>
        <w:spacing w:after="240"/>
        <w:rPr>
          <w:rFonts w:eastAsia="宋体" w:cs="Arial"/>
          <w:bCs/>
          <w:sz w:val="22"/>
          <w:szCs w:val="22"/>
          <w:lang w:eastAsia="zh-CN"/>
        </w:rPr>
      </w:pPr>
      <w:r>
        <w:rPr>
          <w:rFonts w:hint="eastAsia" w:eastAsia="宋体" w:cs="Arial"/>
          <w:bCs/>
          <w:sz w:val="22"/>
          <w:szCs w:val="22"/>
          <w:lang w:val="en-US" w:eastAsia="zh-CN"/>
        </w:rPr>
        <w:t>Prague</w:t>
      </w:r>
      <w:r>
        <w:rPr>
          <w:rFonts w:eastAsia="宋体" w:cs="Arial"/>
          <w:bCs/>
          <w:sz w:val="22"/>
          <w:szCs w:val="22"/>
          <w:lang w:eastAsia="zh-CN"/>
        </w:rPr>
        <w:t xml:space="preserve">, </w:t>
      </w:r>
      <w:r>
        <w:rPr>
          <w:rFonts w:hint="eastAsia" w:eastAsia="宋体" w:cs="Arial"/>
          <w:bCs/>
          <w:sz w:val="22"/>
          <w:szCs w:val="22"/>
          <w:lang w:val="en-US" w:eastAsia="zh-CN"/>
        </w:rPr>
        <w:t>Czech</w:t>
      </w:r>
      <w:r>
        <w:rPr>
          <w:rFonts w:eastAsia="宋体" w:cs="Arial"/>
          <w:bCs/>
          <w:sz w:val="22"/>
          <w:szCs w:val="22"/>
          <w:lang w:eastAsia="zh-CN"/>
        </w:rPr>
        <w:t xml:space="preserve">, </w:t>
      </w:r>
      <w:r>
        <w:rPr>
          <w:rFonts w:hint="eastAsia" w:eastAsia="宋体" w:cs="Arial"/>
          <w:bCs/>
          <w:sz w:val="22"/>
          <w:szCs w:val="22"/>
          <w:lang w:eastAsia="zh-CN"/>
        </w:rPr>
        <w:t>2</w:t>
      </w:r>
      <w:r>
        <w:rPr>
          <w:rFonts w:hint="eastAsia" w:eastAsia="宋体" w:cs="Arial"/>
          <w:bCs/>
          <w:sz w:val="22"/>
          <w:szCs w:val="22"/>
          <w:lang w:val="en-US" w:eastAsia="zh-CN"/>
        </w:rPr>
        <w:t>1st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hint="eastAsia" w:eastAsia="宋体" w:cs="Arial"/>
          <w:bCs/>
          <w:sz w:val="22"/>
          <w:szCs w:val="22"/>
          <w:lang w:val="en-US" w:eastAsia="zh-CN"/>
        </w:rPr>
        <w:t>25th</w:t>
      </w:r>
      <w:r>
        <w:rPr>
          <w:rFonts w:hint="eastAsia" w:eastAsia="宋体" w:cs="Arial"/>
          <w:bCs/>
          <w:sz w:val="22"/>
          <w:szCs w:val="22"/>
          <w:vertAlign w:val="superscript"/>
          <w:lang w:eastAsia="zh-CN"/>
        </w:rPr>
        <w:t xml:space="preserve"> </w:t>
      </w:r>
      <w:r>
        <w:rPr>
          <w:rFonts w:hint="eastAsia" w:eastAsia="宋体" w:cs="Arial"/>
          <w:bCs/>
          <w:sz w:val="22"/>
          <w:szCs w:val="22"/>
          <w:vertAlign w:val="baseline"/>
          <w:lang w:val="en-US" w:eastAsia="zh-CN"/>
        </w:rPr>
        <w:t>August</w:t>
      </w:r>
      <w:r>
        <w:rPr>
          <w:rFonts w:eastAsia="宋体" w:cs="Arial"/>
          <w:bCs/>
          <w:sz w:val="22"/>
          <w:szCs w:val="22"/>
          <w:lang w:eastAsia="zh-CN"/>
        </w:rPr>
        <w:t xml:space="preserve"> 201</w:t>
      </w:r>
      <w:r>
        <w:rPr>
          <w:rFonts w:hint="eastAsia" w:eastAsia="宋体" w:cs="Arial"/>
          <w:bCs/>
          <w:sz w:val="22"/>
          <w:szCs w:val="22"/>
          <w:lang w:eastAsia="zh-CN"/>
        </w:rPr>
        <w:t>7</w:t>
      </w:r>
    </w:p>
    <w:p>
      <w:pPr>
        <w:pStyle w:val="15"/>
        <w:tabs>
          <w:tab w:val="left" w:pos="1805"/>
          <w:tab w:val="clear" w:pos="4536"/>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r>
      <w:r>
        <w:rPr>
          <w:rFonts w:eastAsia="宋体" w:cs="Arial"/>
          <w:bCs/>
          <w:sz w:val="22"/>
          <w:szCs w:val="22"/>
          <w:lang w:eastAsia="zh-CN"/>
        </w:rPr>
        <w:t>ZTE</w:t>
      </w:r>
    </w:p>
    <w:p>
      <w:pPr>
        <w:pStyle w:val="15"/>
        <w:tabs>
          <w:tab w:val="left" w:pos="1800"/>
        </w:tabs>
        <w:ind w:left="1840" w:hanging="1840"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hint="eastAsia" w:eastAsia="宋体" w:cs="Arial"/>
          <w:bCs/>
          <w:sz w:val="22"/>
          <w:szCs w:val="22"/>
          <w:lang w:eastAsia="zh-CN"/>
        </w:rPr>
        <w:t>CSI feedback mechanism on PUCCH</w:t>
      </w:r>
    </w:p>
    <w:p>
      <w:pPr>
        <w:pStyle w:val="15"/>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hint="eastAsia" w:eastAsia="宋体" w:cs="Arial"/>
          <w:bCs/>
          <w:sz w:val="22"/>
          <w:szCs w:val="22"/>
          <w:lang w:val="en-US" w:eastAsia="zh-CN"/>
        </w:rPr>
        <w:t>6</w:t>
      </w:r>
      <w:r>
        <w:rPr>
          <w:rFonts w:hint="eastAsia" w:eastAsia="宋体" w:cs="Arial"/>
          <w:bCs/>
          <w:sz w:val="22"/>
          <w:szCs w:val="22"/>
          <w:lang w:eastAsia="zh-CN"/>
        </w:rPr>
        <w:t>.1.2.</w:t>
      </w:r>
      <w:r>
        <w:rPr>
          <w:rFonts w:hint="eastAsia" w:eastAsia="宋体" w:cs="Arial"/>
          <w:bCs/>
          <w:sz w:val="22"/>
          <w:szCs w:val="22"/>
          <w:lang w:val="en-US" w:eastAsia="zh-CN"/>
        </w:rPr>
        <w:t>2</w:t>
      </w:r>
      <w:r>
        <w:rPr>
          <w:rFonts w:hint="eastAsia" w:eastAsia="宋体" w:cs="Arial"/>
          <w:bCs/>
          <w:sz w:val="22"/>
          <w:szCs w:val="22"/>
          <w:lang w:eastAsia="zh-CN"/>
        </w:rPr>
        <w:t>.</w:t>
      </w:r>
      <w:r>
        <w:rPr>
          <w:rFonts w:hint="eastAsia" w:eastAsia="宋体" w:cs="Arial"/>
          <w:bCs/>
          <w:sz w:val="22"/>
          <w:szCs w:val="22"/>
          <w:lang w:val="en-US" w:eastAsia="zh-CN"/>
        </w:rPr>
        <w:t>3</w:t>
      </w:r>
    </w:p>
    <w:p>
      <w:pPr>
        <w:pBdr>
          <w:bottom w:val="single" w:color="auto" w:sz="6" w:space="1"/>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r>
      <w:r>
        <w:rPr>
          <w:rFonts w:ascii="Arial" w:hAnsi="Arial"/>
          <w:b/>
          <w:lang w:eastAsia="ja-JP"/>
        </w:rPr>
        <w:t>Discussion and Decision</w:t>
      </w:r>
    </w:p>
    <w:p>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ascii="Times New Roman" w:hAnsi="宋体"/>
          <w:sz w:val="20"/>
          <w:szCs w:val="20"/>
        </w:rPr>
        <w:t xml:space="preserve">In </w:t>
      </w:r>
      <w:r>
        <w:rPr>
          <w:rFonts w:hint="eastAsia" w:ascii="Times New Roman" w:hAnsi="宋体"/>
          <w:sz w:val="20"/>
          <w:szCs w:val="20"/>
        </w:rPr>
        <w:t>RAN1#89, the following agreement is achieved on Type I and Type II CSI [1].</w:t>
      </w:r>
    </w:p>
    <w:p>
      <w:pPr>
        <w:spacing w:after="0"/>
        <w:jc w:val="both"/>
        <w:outlineLvl w:val="0"/>
        <w:rPr>
          <w:rFonts w:ascii="Times New Roman" w:hAnsi="Times New Roman" w:eastAsia="MS Mincho"/>
          <w:i/>
          <w:sz w:val="20"/>
          <w:lang w:eastAsia="ja-JP"/>
        </w:rPr>
      </w:pPr>
      <w:r>
        <w:rPr>
          <w:rFonts w:hint="eastAsia" w:ascii="Times New Roman" w:hAnsi="Times New Roman" w:eastAsiaTheme="minorEastAsia"/>
          <w:b/>
          <w:i/>
          <w:sz w:val="20"/>
          <w:u w:val="single"/>
        </w:rPr>
        <w:t>Agreement</w:t>
      </w:r>
      <w:r>
        <w:rPr>
          <w:rFonts w:ascii="Times New Roman" w:hAnsi="Times New Roman" w:eastAsia="MS Mincho"/>
          <w:b/>
          <w:i/>
          <w:sz w:val="20"/>
          <w:u w:val="single"/>
          <w:lang w:eastAsia="ja-JP"/>
        </w:rPr>
        <w:t>:</w:t>
      </w:r>
    </w:p>
    <w:p>
      <w:pPr>
        <w:numPr>
          <w:ilvl w:val="0"/>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 xml:space="preserve">Slides 4 to 24 in </w:t>
      </w:r>
      <w:r>
        <w:fldChar w:fldCharType="begin"/>
      </w:r>
      <w:r>
        <w:instrText xml:space="preserve"> HYPERLINK "file:///E:\\work\\3gpp\\tdocs\\TSGR1_AH1706\\R1-1709232.zip" </w:instrText>
      </w:r>
      <w:r>
        <w:fldChar w:fldCharType="separate"/>
      </w:r>
      <w:r>
        <w:rPr>
          <w:rFonts w:ascii="Times New Roman" w:hAnsi="Times New Roman" w:eastAsia="MS Mincho"/>
          <w:i/>
          <w:sz w:val="20"/>
          <w:lang w:eastAsia="ja-JP"/>
        </w:rPr>
        <w:t>R1-1709232</w:t>
      </w:r>
      <w:r>
        <w:rPr>
          <w:rFonts w:ascii="Times New Roman" w:hAnsi="Times New Roman" w:eastAsia="MS Mincho"/>
          <w:i/>
          <w:sz w:val="20"/>
          <w:lang w:eastAsia="ja-JP"/>
        </w:rPr>
        <w:fldChar w:fldCharType="end"/>
      </w:r>
      <w:r>
        <w:rPr>
          <w:rFonts w:ascii="Times New Roman" w:hAnsi="Times New Roman" w:eastAsia="MS Mincho"/>
          <w:i/>
          <w:sz w:val="20"/>
          <w:lang w:eastAsia="ja-JP"/>
        </w:rPr>
        <w:t xml:space="preserve"> are agreed</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For slide 20, FFS whether or not support frequency-dependent parameterization and if so, the details</w:t>
      </w:r>
    </w:p>
    <w:p>
      <w:pPr>
        <w:numPr>
          <w:ilvl w:val="1"/>
          <w:numId w:val="8"/>
        </w:numPr>
        <w:adjustRightInd w:val="0"/>
        <w:snapToGrid w:val="0"/>
        <w:spacing w:after="0" w:line="240" w:lineRule="auto"/>
        <w:ind w:hanging="357"/>
        <w:jc w:val="both"/>
        <w:rPr>
          <w:rFonts w:ascii="Times New Roman" w:hAnsi="Times New Roman" w:eastAsia="MS Mincho"/>
          <w:i/>
          <w:sz w:val="20"/>
          <w:lang w:eastAsia="ja-JP"/>
        </w:rPr>
      </w:pPr>
      <w:r>
        <w:rPr>
          <w:rFonts w:ascii="Times New Roman" w:hAnsi="Times New Roman" w:eastAsia="MS Mincho"/>
          <w:i/>
          <w:sz w:val="20"/>
          <w:lang w:eastAsia="ja-JP"/>
        </w:rPr>
        <w:t>FFS whether or not to further enhance analog beamforming related operations especially for &gt;1 layers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 xml:space="preserve">The following agreement is achieved on </w:t>
      </w:r>
      <w:r>
        <w:rPr>
          <w:rFonts w:hint="eastAsia" w:ascii="Times New Roman" w:hAnsi="宋体"/>
          <w:sz w:val="20"/>
          <w:szCs w:val="20"/>
          <w:lang w:val="en-US" w:eastAsia="zh-CN"/>
        </w:rPr>
        <w:t xml:space="preserve">physical channels used for Type I and Type II </w:t>
      </w:r>
      <w:r>
        <w:rPr>
          <w:rFonts w:hint="eastAsia" w:ascii="Times New Roman" w:hAnsi="宋体"/>
          <w:sz w:val="20"/>
          <w:szCs w:val="20"/>
        </w:rPr>
        <w:t>CSI report</w:t>
      </w:r>
      <w:r>
        <w:rPr>
          <w:rFonts w:hint="eastAsia" w:ascii="Times New Roman" w:hAnsi="宋体"/>
          <w:sz w:val="20"/>
          <w:szCs w:val="20"/>
          <w:lang w:val="en-US" w:eastAsia="zh-CN"/>
        </w:rPr>
        <w:t xml:space="preserve"> in RAN1 NR Ad Hoc meeting #2 [2]</w:t>
      </w:r>
      <w:r>
        <w:rPr>
          <w:rFonts w:hint="eastAsia" w:ascii="Times New Roman" w:hAnsi="宋体"/>
          <w:sz w:val="20"/>
          <w:szCs w:val="20"/>
        </w:rPr>
        <w:t>.</w:t>
      </w:r>
    </w:p>
    <w:p>
      <w:pPr>
        <w:spacing w:after="0"/>
        <w:jc w:val="both"/>
        <w:outlineLvl w:val="0"/>
        <w:rPr>
          <w:rFonts w:ascii="Times New Roman" w:hAnsi="Times New Roman" w:eastAsiaTheme="minorEastAsia"/>
          <w:b/>
          <w:i/>
          <w:sz w:val="20"/>
          <w:szCs w:val="20"/>
          <w:u w:val="single"/>
        </w:rPr>
      </w:pPr>
      <w:r>
        <w:rPr>
          <w:rFonts w:ascii="Times New Roman" w:hAnsi="Times New Roman" w:eastAsiaTheme="minorEastAsia"/>
          <w:b/>
          <w:i/>
          <w:sz w:val="20"/>
          <w:u w:val="single"/>
        </w:rPr>
        <w:t>Agreements:</w:t>
      </w:r>
    </w:p>
    <w:p>
      <w:pPr>
        <w:pStyle w:val="12"/>
        <w:keepNext w:val="0"/>
        <w:keepLines w:val="0"/>
        <w:pageBreakBefore w:val="0"/>
        <w:widowControl w:val="0"/>
        <w:numPr>
          <w:ilvl w:val="0"/>
          <w:numId w:val="9"/>
        </w:numPr>
        <w:kinsoku/>
        <w:wordWrap/>
        <w:overflowPunct w:val="0"/>
        <w:topLinePunct w:val="0"/>
        <w:autoSpaceDE w:val="0"/>
        <w:autoSpaceDN w:val="0"/>
        <w:bidi w:val="0"/>
        <w:adjustRightInd w:val="0"/>
        <w:snapToGrid w:val="0"/>
        <w:spacing w:after="0" w:line="240" w:lineRule="auto"/>
        <w:ind w:right="0" w:rightChars="0" w:hanging="360" w:firstLineChars="0"/>
        <w:jc w:val="both"/>
        <w:textAlignment w:val="baseline"/>
        <w:outlineLvl w:val="9"/>
        <w:rPr>
          <w:i/>
          <w:color w:val="000000" w:themeColor="text1"/>
          <w:sz w:val="20"/>
          <w:szCs w:val="20"/>
          <w:u w:val="single"/>
        </w:rPr>
      </w:pPr>
      <w:r>
        <w:rPr>
          <w:i/>
          <w:color w:val="000000" w:themeColor="text1"/>
          <w:sz w:val="20"/>
          <w:szCs w:val="20"/>
        </w:rPr>
        <w:t>Type I CSI feedback is supported for P/SP/A-CSI and can be carried on either one of PUCCH and PUSCH</w:t>
      </w:r>
    </w:p>
    <w:p>
      <w:pPr>
        <w:pStyle w:val="12"/>
        <w:keepNext w:val="0"/>
        <w:keepLines w:val="0"/>
        <w:pageBreakBefore w:val="0"/>
        <w:widowControl w:val="0"/>
        <w:numPr>
          <w:ilvl w:val="0"/>
          <w:numId w:val="9"/>
        </w:numPr>
        <w:kinsoku/>
        <w:wordWrap/>
        <w:overflowPunct w:val="0"/>
        <w:topLinePunct w:val="0"/>
        <w:autoSpaceDE w:val="0"/>
        <w:autoSpaceDN w:val="0"/>
        <w:bidi w:val="0"/>
        <w:adjustRightInd w:val="0"/>
        <w:snapToGrid w:val="0"/>
        <w:spacing w:after="0" w:line="240" w:lineRule="auto"/>
        <w:ind w:right="0" w:rightChars="0" w:hanging="360" w:firstLineChars="0"/>
        <w:jc w:val="both"/>
        <w:textAlignment w:val="baseline"/>
        <w:outlineLvl w:val="9"/>
        <w:rPr>
          <w:i/>
          <w:color w:val="000000" w:themeColor="text1"/>
          <w:sz w:val="20"/>
          <w:szCs w:val="20"/>
          <w:u w:val="single"/>
        </w:rPr>
      </w:pPr>
      <w:r>
        <w:rPr>
          <w:i/>
          <w:color w:val="000000" w:themeColor="text1"/>
          <w:sz w:val="20"/>
          <w:szCs w:val="20"/>
        </w:rPr>
        <w:t>Type I subband CSI can be carried on either one of PUSCH and long PUCCH</w:t>
      </w:r>
    </w:p>
    <w:p>
      <w:pPr>
        <w:pStyle w:val="12"/>
        <w:keepNext w:val="0"/>
        <w:keepLines w:val="0"/>
        <w:pageBreakBefore w:val="0"/>
        <w:widowControl w:val="0"/>
        <w:numPr>
          <w:ilvl w:val="0"/>
          <w:numId w:val="9"/>
        </w:numPr>
        <w:kinsoku/>
        <w:wordWrap/>
        <w:overflowPunct w:val="0"/>
        <w:topLinePunct w:val="0"/>
        <w:autoSpaceDE w:val="0"/>
        <w:autoSpaceDN w:val="0"/>
        <w:bidi w:val="0"/>
        <w:adjustRightInd w:val="0"/>
        <w:snapToGrid w:val="0"/>
        <w:spacing w:after="0" w:line="240" w:lineRule="auto"/>
        <w:ind w:right="0" w:rightChars="0" w:hanging="360" w:firstLineChars="0"/>
        <w:jc w:val="both"/>
        <w:textAlignment w:val="baseline"/>
        <w:outlineLvl w:val="9"/>
        <w:rPr>
          <w:i/>
          <w:color w:val="000000" w:themeColor="text1"/>
          <w:sz w:val="20"/>
          <w:szCs w:val="20"/>
          <w:u w:val="single"/>
        </w:rPr>
      </w:pPr>
      <w:r>
        <w:rPr>
          <w:i/>
          <w:color w:val="000000" w:themeColor="text1"/>
          <w:sz w:val="20"/>
          <w:szCs w:val="20"/>
        </w:rPr>
        <w:t>Type II CSI is carried at least on PUSCH</w:t>
      </w:r>
    </w:p>
    <w:p>
      <w:pPr>
        <w:pStyle w:val="12"/>
        <w:keepNext w:val="0"/>
        <w:keepLines w:val="0"/>
        <w:pageBreakBefore w:val="0"/>
        <w:widowControl w:val="0"/>
        <w:numPr>
          <w:ilvl w:val="1"/>
          <w:numId w:val="9"/>
        </w:numPr>
        <w:kinsoku/>
        <w:wordWrap/>
        <w:overflowPunct w:val="0"/>
        <w:topLinePunct w:val="0"/>
        <w:autoSpaceDE w:val="0"/>
        <w:autoSpaceDN w:val="0"/>
        <w:bidi w:val="0"/>
        <w:adjustRightInd w:val="0"/>
        <w:snapToGrid w:val="0"/>
        <w:spacing w:after="0" w:line="240" w:lineRule="auto"/>
        <w:ind w:right="0" w:rightChars="0" w:hanging="360" w:firstLineChars="0"/>
        <w:jc w:val="both"/>
        <w:textAlignment w:val="baseline"/>
        <w:outlineLvl w:val="9"/>
        <w:rPr>
          <w:color w:val="auto"/>
          <w:szCs w:val="20"/>
          <w:u w:val="single"/>
        </w:rPr>
      </w:pPr>
      <w:r>
        <w:rPr>
          <w:i/>
          <w:color w:val="auto"/>
          <w:sz w:val="20"/>
          <w:szCs w:val="20"/>
        </w:rPr>
        <w:t>FFS CSI on PUCCH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In this contribution, we discuss some design aspects on Type I and Type II CSI report on PUCCH.</w:t>
      </w:r>
    </w:p>
    <w:p>
      <w:pPr>
        <w:numPr>
          <w:ilvl w:val="0"/>
          <w:numId w:val="7"/>
        </w:numPr>
        <w:spacing w:before="120" w:after="0" w:line="240" w:lineRule="auto"/>
        <w:ind w:left="357" w:hanging="357"/>
        <w:jc w:val="both"/>
        <w:rPr>
          <w:rFonts w:ascii="Times New Roman" w:hAnsi="Times New Roman"/>
          <w:b/>
          <w:sz w:val="24"/>
          <w:szCs w:val="24"/>
        </w:rPr>
      </w:pPr>
      <w:r>
        <w:rPr>
          <w:rFonts w:hint="eastAsia" w:ascii="Times New Roman" w:hAnsi="Times New Roman"/>
          <w:b/>
          <w:sz w:val="24"/>
          <w:szCs w:val="24"/>
          <w:lang w:val="en-US" w:eastAsia="zh-CN"/>
        </w:rPr>
        <w:t>Physical channels for Type I and Type II report</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sz w:val="20"/>
          <w:szCs w:val="20"/>
          <w:lang w:val="en-US" w:eastAsia="zh-CN"/>
        </w:rPr>
      </w:pPr>
      <w:r>
        <w:rPr>
          <w:rFonts w:hint="eastAsia" w:ascii="Times New Roman" w:hAnsi="宋体"/>
          <w:sz w:val="20"/>
          <w:szCs w:val="20"/>
          <w:lang w:val="en-US" w:eastAsia="zh-CN"/>
        </w:rPr>
        <w:t xml:space="preserve">In last RAN1 Ad Hoc meeting, several aspects were discussed for physical channels carrying Type I and Type II CSI.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sz w:val="20"/>
          <w:szCs w:val="20"/>
          <w:lang w:val="en-US" w:eastAsia="zh-CN"/>
        </w:rPr>
      </w:pPr>
      <w:r>
        <w:rPr>
          <w:rFonts w:hint="eastAsia" w:ascii="Times New Roman" w:hAnsi="宋体"/>
          <w:sz w:val="20"/>
          <w:szCs w:val="20"/>
        </w:rPr>
        <w:t>Type I CSI is quite similar with LTE Rel-13 codebook. 2D-DFT codebook are parameterized with port layout, oversampling factor, number of SB beams and so on. The overhead of Type I CSI can be as large as a few tens of bits, which is also similar with LTE Rel-13 codebook. Type II CSI uses linear combinations of 2D-DFT beams as codebook. SB coefficient with phases and amplitudes cause large overhead for PMI. CSI overhead for Type II can be as large as a few hundreds of bits.</w:t>
      </w:r>
      <w:r>
        <w:rPr>
          <w:rFonts w:hint="eastAsia" w:ascii="Times New Roman" w:hAnsi="宋体"/>
          <w:sz w:val="20"/>
          <w:szCs w:val="20"/>
          <w:lang w:val="en-US" w:eastAsia="zh-CN"/>
        </w:rPr>
        <w:t xml:space="preserve"> For Type I report, it</w:t>
      </w:r>
      <w:r>
        <w:rPr>
          <w:rFonts w:hint="default" w:ascii="Times New Roman" w:hAnsi="Times New Roman" w:cs="Times New Roman"/>
          <w:sz w:val="20"/>
          <w:szCs w:val="20"/>
          <w:lang w:val="en-US" w:eastAsia="zh-CN"/>
        </w:rPr>
        <w:t>’</w:t>
      </w:r>
      <w:r>
        <w:rPr>
          <w:rFonts w:hint="eastAsia" w:ascii="Times New Roman" w:hAnsi="宋体"/>
          <w:sz w:val="20"/>
          <w:szCs w:val="20"/>
          <w:lang w:val="en-US" w:eastAsia="zh-CN"/>
        </w:rPr>
        <w:t>s straight-forward that both PUCCH and PUSCH can be used. Then the issue is whether container size of PUCCH is large enough for Type II. It depends on the final design of PUCCH. NR supports two types of PUCCH formats, i.e., long PUCCH and short PUCCH. For short PUCCH, only 1 or 2 symbols are allocated to PUCCH, whereas more than 2 symbols can be allocated to long PUCCH. In fact, in the discussion of PUCCH design, the following agreement is used for container size assumption.</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leftChars="0" w:right="0" w:rightChars="0" w:hanging="360" w:firstLineChars="0"/>
        <w:jc w:val="left"/>
        <w:textAlignment w:val="auto"/>
        <w:outlineLvl w:val="9"/>
        <w:rPr>
          <w:rFonts w:hint="default" w:ascii="Times New Roman" w:hAnsi="Times New Roman" w:eastAsia="MS Mincho" w:cs="Times New Roman"/>
          <w:i/>
          <w:iCs/>
          <w:sz w:val="20"/>
          <w:szCs w:val="20"/>
          <w:lang w:val="en-US" w:eastAsia="ja-JP"/>
        </w:rPr>
      </w:pPr>
      <w:r>
        <w:rPr>
          <w:rFonts w:hint="default" w:ascii="Times New Roman" w:hAnsi="Times New Roman" w:eastAsia="MS Mincho" w:cs="Times New Roman"/>
          <w:i/>
          <w:iCs/>
          <w:sz w:val="20"/>
          <w:szCs w:val="20"/>
          <w:lang w:val="en-US" w:eastAsia="ja-JP"/>
        </w:rPr>
        <w:t>For further discussion of PUCCH in short-duration, UCI payload of 1 – at least a few tens of bits (or SR) is assumed.</w:t>
      </w:r>
    </w:p>
    <w:p>
      <w:pPr>
        <w:keepNext w:val="0"/>
        <w:keepLines w:val="0"/>
        <w:pageBreakBefore w:val="0"/>
        <w:widowControl/>
        <w:numPr>
          <w:ilvl w:val="0"/>
          <w:numId w:val="10"/>
        </w:numPr>
        <w:kinsoku/>
        <w:wordWrap/>
        <w:overflowPunct/>
        <w:topLinePunct w:val="0"/>
        <w:autoSpaceDE/>
        <w:autoSpaceDN/>
        <w:bidi w:val="0"/>
        <w:adjustRightInd w:val="0"/>
        <w:snapToGrid w:val="0"/>
        <w:spacing w:after="0" w:line="240" w:lineRule="auto"/>
        <w:ind w:left="720" w:leftChars="0" w:right="0" w:rightChars="0" w:hanging="360" w:firstLineChars="0"/>
        <w:jc w:val="left"/>
        <w:textAlignment w:val="auto"/>
        <w:outlineLvl w:val="9"/>
        <w:rPr>
          <w:rFonts w:hint="default" w:ascii="Times New Roman" w:hAnsi="Times New Roman" w:eastAsia="MS Mincho" w:cs="Times New Roman"/>
          <w:i/>
          <w:iCs/>
          <w:sz w:val="20"/>
          <w:szCs w:val="20"/>
          <w:lang w:val="en-US" w:eastAsia="ja-JP"/>
        </w:rPr>
      </w:pPr>
      <w:r>
        <w:rPr>
          <w:rFonts w:hint="default" w:ascii="Times New Roman" w:hAnsi="Times New Roman" w:eastAsia="MS Mincho" w:cs="Times New Roman"/>
          <w:i/>
          <w:iCs/>
          <w:sz w:val="20"/>
          <w:szCs w:val="20"/>
          <w:lang w:val="en-US" w:eastAsia="ja-JP"/>
        </w:rPr>
        <w:t>For further discussion of PUCCH in long-duration, UCI payload of 1 – at least a few hundreds of bits (or SR) is assumed.</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sz w:val="20"/>
          <w:szCs w:val="20"/>
          <w:lang w:val="en-US" w:eastAsia="zh-CN"/>
        </w:rPr>
      </w:pPr>
      <w:r>
        <w:rPr>
          <w:rFonts w:hint="eastAsia" w:ascii="Times New Roman" w:hAnsi="宋体"/>
          <w:sz w:val="20"/>
          <w:szCs w:val="20"/>
          <w:lang w:val="en-US" w:eastAsia="zh-CN"/>
        </w:rPr>
        <w:t xml:space="preserve">Hence it can be deduced that the container of long PUCCH can be potentially large enough at least for WB Type II CSI. With Type II CSI components reported in PUCCH, high-resolution CSI can be acquired to maintain high-quality link without triggering signaling.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sz w:val="20"/>
          <w:szCs w:val="20"/>
          <w:lang w:val="en-US" w:eastAsia="zh-CN"/>
        </w:rPr>
      </w:pPr>
      <w:r>
        <w:rPr>
          <w:rFonts w:hint="eastAsia" w:ascii="Times New Roman" w:hAnsi="宋体"/>
          <w:sz w:val="20"/>
          <w:szCs w:val="20"/>
          <w:lang w:val="en-US" w:eastAsia="zh-CN"/>
        </w:rPr>
        <w:t>To be more specific, several candidates can be identified for Type II PUCCH report. The first one is that a full WB Type II CSI is reported in PUCCH. This approach is used for LTE Rel-14 advanced CSI. In this scheme, besides WB relative power, WB phase information is also reported in PUCCH. Another approach is that partial WB Type II CSI is reported in PUCCH. For example, WB relative power is reported in PUCCH, and SB phase is reported in PUSCH. In this approach, gNB can WB information to maintain the link with a relative high quality, whereas SB phase can be triggered to enhance performance. Compared with the first approach, the benefit of WB phase needs to be studied as this parameter is omitted in the second approach.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lang w:val="en-US" w:eastAsia="zh-CN"/>
        </w:rPr>
        <w:t>Proposal 1:</w:t>
      </w:r>
      <w:r>
        <w:rPr>
          <w:rFonts w:hint="eastAsia" w:ascii="Times New Roman" w:hAnsi="宋体"/>
          <w:i/>
          <w:iCs/>
          <w:sz w:val="20"/>
          <w:szCs w:val="20"/>
          <w:lang w:val="en-US" w:eastAsia="zh-CN"/>
        </w:rPr>
        <w:t xml:space="preserve"> At least WB Type II CSI is supported on NR PUCCH.</w:t>
      </w:r>
    </w:p>
    <w:p>
      <w:pPr>
        <w:numPr>
          <w:ilvl w:val="0"/>
          <w:numId w:val="7"/>
        </w:numPr>
        <w:spacing w:before="120" w:after="0" w:line="240" w:lineRule="auto"/>
        <w:ind w:left="357" w:hanging="357"/>
        <w:jc w:val="both"/>
        <w:rPr>
          <w:rFonts w:ascii="Times New Roman" w:hAnsi="Times New Roman"/>
          <w:b/>
          <w:sz w:val="24"/>
          <w:szCs w:val="24"/>
        </w:rPr>
      </w:pPr>
      <w:r>
        <w:rPr>
          <w:rFonts w:hint="eastAsia" w:ascii="Times New Roman" w:hAnsi="Times New Roman"/>
          <w:b/>
          <w:sz w:val="24"/>
          <w:szCs w:val="24"/>
        </w:rPr>
        <w:t xml:space="preserve">CSI </w:t>
      </w:r>
      <w:r>
        <w:rPr>
          <w:rFonts w:hint="eastAsia" w:ascii="Times New Roman" w:hAnsi="Times New Roman"/>
          <w:b/>
          <w:sz w:val="24"/>
          <w:szCs w:val="24"/>
          <w:lang w:val="en-US" w:eastAsia="zh-CN"/>
        </w:rPr>
        <w:t>encoding and resource mapping</w:t>
      </w:r>
      <w:r>
        <w:rPr>
          <w:rFonts w:hint="eastAsia" w:ascii="Times New Roman" w:hAnsi="Times New Roman"/>
          <w:b/>
          <w:sz w:val="24"/>
          <w:szCs w:val="24"/>
        </w:rPr>
        <w:t xml:space="preserve"> on PUCCH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b w:val="0"/>
          <w:bCs w:val="0"/>
          <w:sz w:val="20"/>
          <w:szCs w:val="20"/>
          <w:lang w:val="en-US" w:eastAsia="zh-CN"/>
        </w:rPr>
      </w:pPr>
      <w:r>
        <w:rPr>
          <w:rFonts w:hint="eastAsia" w:ascii="Times New Roman" w:hAnsi="宋体"/>
          <w:b w:val="0"/>
          <w:bCs w:val="0"/>
          <w:sz w:val="20"/>
          <w:szCs w:val="20"/>
          <w:lang w:val="en-US" w:eastAsia="zh-CN"/>
        </w:rPr>
        <w:t>For determining CSI encoding and resource mapping schemes on PUCCH, different aspects including CSI overhead, latency and flexibility need to be considered.</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b/>
          <w:bCs/>
          <w:sz w:val="20"/>
          <w:szCs w:val="20"/>
        </w:rPr>
      </w:pPr>
      <w:r>
        <w:rPr>
          <w:rFonts w:hint="eastAsia" w:ascii="Times New Roman" w:hAnsi="宋体"/>
          <w:b/>
          <w:bCs/>
          <w:sz w:val="20"/>
          <w:szCs w:val="20"/>
          <w:lang w:val="en-US" w:eastAsia="zh-CN"/>
        </w:rPr>
        <w:t>3</w:t>
      </w:r>
      <w:r>
        <w:rPr>
          <w:rFonts w:hint="eastAsia" w:ascii="Times New Roman" w:hAnsi="宋体"/>
          <w:b/>
          <w:bCs/>
          <w:sz w:val="20"/>
          <w:szCs w:val="20"/>
        </w:rPr>
        <w:t>.1 CSI overhead</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lang w:val="en-US" w:eastAsia="zh-CN"/>
        </w:rPr>
        <w:t xml:space="preserve">One issue on CSI encoding scheme is whether all parameters are jointly encoded or some of the parameters need to be encoded separately. It impacts CSI overhead. </w:t>
      </w:r>
      <w:r>
        <w:rPr>
          <w:rFonts w:hint="eastAsia" w:ascii="Times New Roman" w:hAnsi="宋体"/>
          <w:sz w:val="20"/>
          <w:szCs w:val="20"/>
        </w:rPr>
        <w:t xml:space="preserve">Type I codebook supports rank 1-8, and Type II codebook supports rank 1-2. Table I summarizes PMI overhead for different ranks in Type I and Type II codebooks. In Table I, we assume 10 SBs, L=4 and 32 port with (4,4,4,4). For Type II, WB+SB differential amplitude and SB phase are assumed. It can be observed in Table I that for both Type I and Type II, payload sizes of PMI for different ranks are quite different. Especially for Type II, difference between PMI overhead of rank 1 and rank 2 can be as large as 264 bits. </w:t>
      </w:r>
    </w:p>
    <w:p>
      <w:pPr>
        <w:spacing w:after="0" w:line="240" w:lineRule="auto"/>
        <w:jc w:val="center"/>
        <w:rPr>
          <w:rFonts w:ascii="Times New Roman" w:hAnsi="宋体"/>
          <w:sz w:val="20"/>
          <w:szCs w:val="20"/>
        </w:rPr>
      </w:pPr>
      <w:r>
        <w:rPr>
          <w:rFonts w:hint="eastAsia" w:ascii="Times New Roman" w:hAnsi="宋体"/>
          <w:sz w:val="20"/>
          <w:szCs w:val="20"/>
        </w:rPr>
        <w:t>Table I  PMI overhead for different ranks</w:t>
      </w:r>
    </w:p>
    <w:tbl>
      <w:tblPr>
        <w:tblStyle w:val="22"/>
        <w:tblW w:w="8521" w:type="dxa"/>
        <w:jc w:val="cente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04"/>
        <w:gridCol w:w="1704"/>
        <w:gridCol w:w="1704"/>
        <w:gridCol w:w="1704"/>
        <w:gridCol w:w="170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jc w:val="center"/>
        </w:trPr>
        <w:tc>
          <w:tcPr>
            <w:tcW w:w="1704" w:type="dxa"/>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RI</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WB(bit)</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Per SB(bit)</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Total(bit)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29" w:hRule="atLeast"/>
          <w:jc w:val="center"/>
        </w:trPr>
        <w:tc>
          <w:tcPr>
            <w:tcW w:w="1704" w:type="dxa"/>
            <w:vMerge w:val="restart"/>
          </w:tcPr>
          <w:p>
            <w:pPr>
              <w:spacing w:after="0" w:line="240" w:lineRule="auto"/>
              <w:jc w:val="center"/>
              <w:rPr>
                <w:rFonts w:ascii="Times New Roman" w:hAnsi="宋体"/>
                <w:sz w:val="20"/>
                <w:szCs w:val="20"/>
              </w:rPr>
            </w:pPr>
            <w:r>
              <w:rPr>
                <w:rFonts w:hint="eastAsia" w:ascii="Times New Roman" w:hAnsi="宋体"/>
                <w:sz w:val="20"/>
                <w:szCs w:val="20"/>
              </w:rPr>
              <w:t xml:space="preserve">Type I </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1</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8</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4</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continue"/>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2</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9</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3</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39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continue"/>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3~4</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9</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1</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19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continue"/>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5~6</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8</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1</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continue"/>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7~8</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8</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1</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18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restart"/>
          </w:tcPr>
          <w:p>
            <w:pPr>
              <w:spacing w:after="0" w:line="240" w:lineRule="auto"/>
              <w:jc w:val="center"/>
              <w:rPr>
                <w:rFonts w:ascii="Times New Roman" w:hAnsi="宋体"/>
                <w:sz w:val="20"/>
                <w:szCs w:val="20"/>
              </w:rPr>
            </w:pPr>
            <w:r>
              <w:rPr>
                <w:rFonts w:hint="eastAsia" w:ascii="Times New Roman" w:hAnsi="宋体"/>
                <w:sz w:val="20"/>
                <w:szCs w:val="20"/>
              </w:rPr>
              <w:t>Type II</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1</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39</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24</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279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jc w:val="center"/>
        </w:trPr>
        <w:tc>
          <w:tcPr>
            <w:tcW w:w="1704" w:type="dxa"/>
            <w:vMerge w:val="continue"/>
          </w:tcPr>
          <w:p>
            <w:pPr>
              <w:spacing w:after="0" w:line="240" w:lineRule="auto"/>
              <w:jc w:val="center"/>
              <w:rPr>
                <w:rFonts w:ascii="Times New Roman" w:hAnsi="宋体"/>
                <w:sz w:val="20"/>
                <w:szCs w:val="20"/>
              </w:rPr>
            </w:pP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2</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63</w:t>
            </w:r>
          </w:p>
        </w:tc>
        <w:tc>
          <w:tcPr>
            <w:tcW w:w="1704" w:type="dxa"/>
          </w:tcPr>
          <w:p>
            <w:pPr>
              <w:spacing w:after="0" w:line="240" w:lineRule="auto"/>
              <w:jc w:val="center"/>
              <w:rPr>
                <w:rFonts w:ascii="Times New Roman" w:hAnsi="宋体"/>
                <w:sz w:val="20"/>
                <w:szCs w:val="20"/>
              </w:rPr>
            </w:pPr>
            <w:r>
              <w:rPr>
                <w:rFonts w:hint="eastAsia" w:ascii="Times New Roman" w:hAnsi="宋体"/>
                <w:sz w:val="20"/>
                <w:szCs w:val="20"/>
              </w:rPr>
              <w:t>48</w:t>
            </w:r>
          </w:p>
        </w:tc>
        <w:tc>
          <w:tcPr>
            <w:tcW w:w="1705" w:type="dxa"/>
          </w:tcPr>
          <w:p>
            <w:pPr>
              <w:spacing w:after="0" w:line="240" w:lineRule="auto"/>
              <w:jc w:val="center"/>
              <w:rPr>
                <w:rFonts w:ascii="Times New Roman" w:hAnsi="宋体"/>
                <w:sz w:val="20"/>
                <w:szCs w:val="20"/>
              </w:rPr>
            </w:pPr>
            <w:r>
              <w:rPr>
                <w:rFonts w:hint="eastAsia" w:ascii="Times New Roman" w:hAnsi="宋体"/>
                <w:sz w:val="20"/>
                <w:szCs w:val="20"/>
              </w:rPr>
              <w:t>543</w:t>
            </w:r>
          </w:p>
        </w:tc>
      </w:tr>
    </w:tbl>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Observation 1:</w:t>
      </w:r>
      <w:r>
        <w:rPr>
          <w:rFonts w:hint="eastAsia" w:ascii="Times New Roman" w:hAnsi="宋体"/>
          <w:i/>
          <w:iCs/>
          <w:sz w:val="20"/>
          <w:szCs w:val="20"/>
        </w:rPr>
        <w:t xml:space="preserve"> For both NR Type I and Type II codebooks, payload size of PMI depends on RI values.</w:t>
      </w:r>
    </w:p>
    <w:p>
      <w:pPr>
        <w:keepNext w:val="0"/>
        <w:keepLines w:val="0"/>
        <w:pageBreakBefore w:val="0"/>
        <w:widowControl/>
        <w:kinsoku/>
        <w:wordWrap/>
        <w:overflowPunct/>
        <w:topLinePunct w:val="0"/>
        <w:autoSpaceDE/>
        <w:autoSpaceDN/>
        <w:bidi w:val="0"/>
        <w:spacing w:before="120" w:after="200" w:line="240" w:lineRule="auto"/>
        <w:ind w:left="0" w:leftChars="0" w:right="0" w:rightChars="0" w:firstLine="0" w:firstLineChars="0"/>
        <w:jc w:val="both"/>
        <w:textAlignment w:val="auto"/>
        <w:outlineLvl w:val="9"/>
        <w:rPr>
          <w:rFonts w:ascii="Times New Roman" w:hAnsi="宋体"/>
          <w:b/>
          <w:bCs/>
          <w:sz w:val="20"/>
          <w:szCs w:val="20"/>
        </w:rPr>
      </w:pPr>
      <w:r>
        <w:rPr>
          <w:rFonts w:hint="eastAsia" w:ascii="Times New Roman" w:hAnsi="宋体"/>
          <w:b/>
          <w:bCs/>
          <w:sz w:val="20"/>
          <w:szCs w:val="20"/>
          <w:lang w:val="en-US" w:eastAsia="zh-CN"/>
        </w:rPr>
        <w:t>3</w:t>
      </w:r>
      <w:r>
        <w:rPr>
          <w:rFonts w:hint="eastAsia" w:ascii="Times New Roman" w:hAnsi="宋体"/>
          <w:b/>
          <w:bCs/>
          <w:sz w:val="20"/>
          <w:szCs w:val="20"/>
        </w:rPr>
        <w:t>.2 CSI latency</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lang w:val="en-US" w:eastAsia="zh-CN"/>
        </w:rPr>
        <w:t xml:space="preserve">One key issue of CSI resource mapping is that different CSI parameters should be mapped into one slot or multiple slots. It impacts CSI latency. </w:t>
      </w:r>
      <w:r>
        <w:rPr>
          <w:rFonts w:hint="eastAsia" w:ascii="Times New Roman" w:hAnsi="宋体"/>
          <w:sz w:val="20"/>
          <w:szCs w:val="20"/>
        </w:rPr>
        <w:t>CSI feedback latency has a significant impact on UE performance to do beamforming. CSI latency impacts the throughput performance since shorter CSI latency gives the gNB better information on the real-time channel as well as a larger beamforming gain. In Table II, the simulation results for different CQI delay levels are shown based on the Type II feedback. In this simulation, Type II codebook with L=6 with SB amplitude reporting is assumed. Moreover, PUCCH 1-1 is used. Periodicity of RI is 10 ms, whereas periodicity of PMI/CQI is 5ms. Slot offset of CQI reporting depends on the value of CQI_delay. We assume no dropping rules are applied. Other simulation parameters are given in Appendix.</w:t>
      </w:r>
    </w:p>
    <w:p>
      <w:pPr>
        <w:spacing w:after="0" w:line="240" w:lineRule="auto"/>
        <w:jc w:val="center"/>
        <w:rPr>
          <w:rFonts w:ascii="Times New Roman" w:hAnsi="宋体"/>
          <w:sz w:val="20"/>
          <w:szCs w:val="20"/>
        </w:rPr>
      </w:pPr>
      <w:r>
        <w:rPr>
          <w:rFonts w:hint="eastAsia" w:ascii="Times New Roman" w:hAnsi="宋体"/>
          <w:sz w:val="20"/>
          <w:szCs w:val="20"/>
        </w:rPr>
        <w:t>Table II Simulation results for different CQI delay values</w:t>
      </w:r>
    </w:p>
    <w:tbl>
      <w:tblPr>
        <w:tblStyle w:val="22"/>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90" w:hRule="atLeast"/>
          <w:jc w:val="center"/>
        </w:trPr>
        <w:tc>
          <w:tcPr>
            <w:tcW w:w="8522" w:type="dxa"/>
            <w:gridSpan w:val="4"/>
            <w:vAlign w:val="center"/>
          </w:tcPr>
          <w:p>
            <w:pPr>
              <w:spacing w:after="0" w:line="240" w:lineRule="auto"/>
              <w:jc w:val="center"/>
              <w:rPr>
                <w:rFonts w:ascii="Times New Roman" w:hAnsi="宋体"/>
                <w:sz w:val="20"/>
                <w:szCs w:val="20"/>
              </w:rPr>
            </w:pPr>
            <w:r>
              <w:rPr>
                <w:rFonts w:hint="eastAsia" w:ascii="Times New Roman" w:hAnsi="宋体"/>
                <w:sz w:val="20"/>
                <w:szCs w:val="20"/>
              </w:rPr>
              <w:t>Type II, SU/MU adaptation with maximum 2 layers, 3D-Umi scenario, 16Tx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CQI_Delay (ms)</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RU</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Mean</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2</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0.42</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32.48(0%)</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12.50(0%)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4</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0.42</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32.20(-0.9%)</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12.23(-2.3%)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6</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0.43</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31.78(-2.2%)</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11.79(-6.0%)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8</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0.43</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31.63(-2.5%)</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11.34(-9.8%)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10</w:t>
            </w:r>
          </w:p>
        </w:tc>
        <w:tc>
          <w:tcPr>
            <w:tcW w:w="2130" w:type="dxa"/>
            <w:vAlign w:val="center"/>
          </w:tcPr>
          <w:p>
            <w:pPr>
              <w:spacing w:after="0" w:line="240" w:lineRule="auto"/>
              <w:jc w:val="center"/>
              <w:rPr>
                <w:rFonts w:ascii="Times New Roman" w:hAnsi="宋体"/>
                <w:sz w:val="20"/>
                <w:szCs w:val="20"/>
              </w:rPr>
            </w:pPr>
            <w:r>
              <w:rPr>
                <w:rFonts w:hint="eastAsia" w:ascii="Times New Roman" w:hAnsi="宋体"/>
                <w:sz w:val="20"/>
                <w:szCs w:val="20"/>
              </w:rPr>
              <w:t>0.44</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31.27(-3.8%)</w:t>
            </w:r>
          </w:p>
        </w:tc>
        <w:tc>
          <w:tcPr>
            <w:tcW w:w="2131" w:type="dxa"/>
            <w:vAlign w:val="center"/>
          </w:tcPr>
          <w:p>
            <w:pPr>
              <w:spacing w:after="0" w:line="240" w:lineRule="auto"/>
              <w:jc w:val="center"/>
              <w:rPr>
                <w:rFonts w:ascii="Times New Roman" w:hAnsi="宋体"/>
                <w:sz w:val="20"/>
                <w:szCs w:val="20"/>
              </w:rPr>
            </w:pPr>
            <w:r>
              <w:rPr>
                <w:rFonts w:hint="eastAsia" w:ascii="Times New Roman" w:hAnsi="宋体"/>
                <w:sz w:val="20"/>
                <w:szCs w:val="20"/>
              </w:rPr>
              <w:t>10.88(-13.7%)</w:t>
            </w:r>
          </w:p>
        </w:tc>
      </w:tr>
    </w:tbl>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It can be observed in Table II that different CQI delay values impacts system performance, especially cell-edge performance. If RI/PMI/CQI are reported in three report instances with 5ms gap between each two adjacent instances, which is typical LTE case, CQI delay can be as large as 10 ms. In this case, significant system performance degradation can be observed.</w:t>
      </w:r>
      <w:r>
        <w:rPr>
          <w:rFonts w:hint="eastAsia" w:ascii="Times New Roman" w:hAnsi="宋体"/>
          <w:sz w:val="20"/>
          <w:szCs w:val="20"/>
          <w:lang w:val="en-US" w:eastAsia="zh-CN"/>
        </w:rPr>
        <w:t xml:space="preserve"> On the other hand, </w:t>
      </w:r>
      <w:r>
        <w:rPr>
          <w:rFonts w:hint="eastAsia" w:ascii="Times New Roman" w:hAnsi="宋体"/>
          <w:sz w:val="20"/>
          <w:szCs w:val="20"/>
        </w:rPr>
        <w:t xml:space="preserve">RI/PMI/CQI transmitted in one slot, adjacent 2 </w:t>
      </w:r>
      <w:r>
        <w:rPr>
          <w:rFonts w:hint="eastAsia" w:ascii="Times New Roman" w:hAnsi="宋体"/>
          <w:sz w:val="20"/>
          <w:szCs w:val="20"/>
          <w:lang w:val="en-US" w:eastAsia="zh-CN"/>
        </w:rPr>
        <w:t>s</w:t>
      </w:r>
      <w:r>
        <w:rPr>
          <w:rFonts w:hint="eastAsia" w:ascii="Times New Roman" w:hAnsi="宋体"/>
          <w:sz w:val="20"/>
          <w:szCs w:val="20"/>
        </w:rPr>
        <w:t>lots or 2 slots with one slot gap barely reduces performance</w:t>
      </w:r>
      <w:r>
        <w:rPr>
          <w:rFonts w:hint="eastAsia" w:ascii="Times New Roman" w:hAnsi="宋体"/>
          <w:sz w:val="20"/>
          <w:szCs w:val="20"/>
          <w:lang w:val="en-US" w:eastAsia="zh-CN"/>
        </w:rPr>
        <w:t>.</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Observation 2:</w:t>
      </w:r>
      <w:r>
        <w:rPr>
          <w:rFonts w:hint="eastAsia" w:ascii="Times New Roman" w:hAnsi="宋体"/>
          <w:i/>
          <w:iCs/>
          <w:sz w:val="20"/>
          <w:szCs w:val="20"/>
        </w:rPr>
        <w:t xml:space="preserve"> CSI latency has non-negligible impact on system performance. Especially, cell-edge performance can be impacted significantly.</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2</w:t>
      </w:r>
      <w:r>
        <w:rPr>
          <w:rFonts w:hint="eastAsia" w:ascii="Times New Roman" w:hAnsi="宋体"/>
          <w:b/>
          <w:bCs/>
          <w:i/>
          <w:iCs/>
          <w:sz w:val="20"/>
          <w:szCs w:val="20"/>
        </w:rPr>
        <w:t>:</w:t>
      </w:r>
      <w:r>
        <w:rPr>
          <w:rFonts w:hint="eastAsia" w:ascii="Times New Roman" w:hAnsi="宋体"/>
          <w:i/>
          <w:iCs/>
          <w:sz w:val="20"/>
          <w:szCs w:val="20"/>
        </w:rPr>
        <w:t xml:space="preserve"> For NR PUCCH CSI reporting,</w:t>
      </w:r>
      <w:r>
        <w:rPr>
          <w:rFonts w:hint="eastAsia" w:ascii="Times New Roman" w:hAnsi="宋体"/>
          <w:i/>
          <w:iCs/>
          <w:sz w:val="20"/>
          <w:szCs w:val="20"/>
          <w:lang w:val="en-US" w:eastAsia="zh-CN"/>
        </w:rPr>
        <w:t xml:space="preserve"> support</w:t>
      </w:r>
      <w:r>
        <w:rPr>
          <w:rFonts w:hint="eastAsia" w:ascii="Times New Roman" w:hAnsi="宋体"/>
          <w:i/>
          <w:iCs/>
          <w:sz w:val="20"/>
          <w:szCs w:val="20"/>
        </w:rPr>
        <w:t xml:space="preserve"> a CSI reporting containing RI/PMI/CQI in one slot, adjacent 2 </w:t>
      </w:r>
      <w:r>
        <w:rPr>
          <w:rFonts w:hint="eastAsia" w:ascii="Times New Roman" w:hAnsi="宋体"/>
          <w:i/>
          <w:iCs/>
          <w:sz w:val="20"/>
          <w:szCs w:val="20"/>
          <w:lang w:val="en-US" w:eastAsia="zh-CN"/>
        </w:rPr>
        <w:t>s</w:t>
      </w:r>
      <w:r>
        <w:rPr>
          <w:rFonts w:hint="eastAsia" w:ascii="Times New Roman" w:hAnsi="宋体"/>
          <w:i/>
          <w:iCs/>
          <w:sz w:val="20"/>
          <w:szCs w:val="20"/>
        </w:rPr>
        <w:t>lots or 2 slots with one slot gap.</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b/>
          <w:bCs/>
          <w:sz w:val="20"/>
          <w:szCs w:val="20"/>
        </w:rPr>
      </w:pPr>
      <w:r>
        <w:rPr>
          <w:rFonts w:hint="eastAsia" w:ascii="Times New Roman" w:hAnsi="宋体"/>
          <w:b/>
          <w:bCs/>
          <w:sz w:val="20"/>
          <w:szCs w:val="20"/>
          <w:lang w:val="en-US" w:eastAsia="zh-CN"/>
        </w:rPr>
        <w:t>3</w:t>
      </w:r>
      <w:r>
        <w:rPr>
          <w:rFonts w:hint="eastAsia" w:ascii="Times New Roman" w:hAnsi="宋体"/>
          <w:b/>
          <w:bCs/>
          <w:sz w:val="20"/>
          <w:szCs w:val="20"/>
        </w:rPr>
        <w:t xml:space="preserve">.3 Potential design for CSI </w:t>
      </w:r>
      <w:r>
        <w:rPr>
          <w:rFonts w:hint="eastAsia" w:ascii="Times New Roman" w:hAnsi="宋体"/>
          <w:b/>
          <w:bCs/>
          <w:sz w:val="20"/>
          <w:szCs w:val="20"/>
          <w:lang w:val="en-US" w:eastAsia="zh-CN"/>
        </w:rPr>
        <w:t>encoding and resource mapping</w:t>
      </w:r>
      <w:r>
        <w:rPr>
          <w:rFonts w:hint="eastAsia" w:ascii="Times New Roman" w:hAnsi="宋体"/>
          <w:b/>
          <w:bCs/>
          <w:sz w:val="20"/>
          <w:szCs w:val="20"/>
        </w:rPr>
        <w:t xml:space="preserve"> on PUCCH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In the above subsections, we analyze and evaluate CSI overhead and latency for PUCCH reporting. In LTE Rel-13, CSI report in PUCCH 1-1 is divided into 3 report instances. RI and PMI are reported in different subframes. The time gap between RI and W1 can be several subframes. Network can assign resources used for PMI based on detection of RI report. This mechanism can facilitate efficient resource utilization to adjust PMI payload size based on RI value. However, large CSI latency is introduced as at least 3 instances are needed to acquire an entire CSI report. Moreover, if multiple report instances are used, extra design effort needs to be paid for defining dropping rules. To address above issues, design of NR PUCCH CSI report should trade off CSI latency and resource utilization considering different PMI payload size for different RI values.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 xml:space="preserve">In terms of CSI latency reduction, the best solution is to support entire CSI reporting with RI/PMI/CQI in one slot. However, CSI overhead depends highly on RI value. The exact CSI overhead is known by UE after RI calculation. gNB can not predict the exact overhead of CSI in advance. Hence gNB needs to allocate enough PUCCH resource for CSI reporting based on the largest potential resource consumption. For example, if Type II is configured, gNB allocates PUCCH resources assuming that RI=2. Then resource utilization efficiency can be quite low if real RI is 1. </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One potential solution is to define relationship between RI value and number of used resources in PUCCH. UE decides the number of used resources for CSI reporting in configured PUCCH resources based on RI calculation. gNB would know number of used resources based on detection of RI and the defined relationship. One example is shown in Fig. 1. In this example, long-duration PUCCH containing 6 OFDM symbols to transmit Type II CSI is depicted. The first symbol carries RI. The remaining symbols are potentially used for PMI/CQI transmission. The RI value determines number of used resources. For example, if RI=1, three symbols are used for PMI/CQI transmission. Two symbols are saved. Otherwise all the remaining five symbols are used for PMI/CQI transmission. gNB can know the number of used symbols upon detecting RI.</w:t>
      </w:r>
    </w:p>
    <w:p>
      <w:pPr>
        <w:spacing w:after="0" w:line="240" w:lineRule="auto"/>
        <w:jc w:val="center"/>
        <w:rPr>
          <w:rFonts w:ascii="Times New Roman" w:hAnsi="宋体"/>
          <w:sz w:val="20"/>
          <w:szCs w:val="20"/>
        </w:rPr>
      </w:pPr>
      <w:r>
        <w:rPr>
          <w:rFonts w:hint="eastAsia" w:ascii="Times New Roman" w:hAnsi="宋体"/>
          <w:sz w:val="20"/>
          <w:szCs w:val="20"/>
        </w:rPr>
        <w:object>
          <v:shape id="_x0000_i1025" o:spt="75" type="#_x0000_t75" style="height:138.1pt;width:128.4pt;" o:ole="t" filled="f" o:preferrelative="t" stroked="f" coordsize="21600,21600">
            <v:path/>
            <v:fill on="f" focussize="0,0"/>
            <v:stroke on="f" joinstyle="miter"/>
            <v:imagedata r:id="rId5" o:title=""/>
            <o:lock v:ext="edit" aspectratio="f"/>
            <w10:wrap type="none"/>
            <w10:anchorlock/>
          </v:shape>
          <o:OLEObject Type="Embed" ProgID="Visio.Drawing.11" ShapeID="_x0000_i1025" DrawAspect="Content" ObjectID="_1468075725" r:id="rId4">
            <o:LockedField>false</o:LockedField>
          </o:OLEObject>
        </w:object>
      </w:r>
    </w:p>
    <w:p>
      <w:pPr>
        <w:spacing w:after="0" w:line="240" w:lineRule="auto"/>
        <w:jc w:val="center"/>
        <w:rPr>
          <w:rFonts w:ascii="Times New Roman" w:hAnsi="宋体"/>
          <w:sz w:val="20"/>
          <w:szCs w:val="20"/>
        </w:rPr>
      </w:pPr>
      <w:r>
        <w:rPr>
          <w:rFonts w:hint="eastAsia" w:ascii="Times New Roman" w:hAnsi="宋体"/>
          <w:sz w:val="20"/>
          <w:szCs w:val="20"/>
        </w:rPr>
        <w:t>Fig. 1 CSI report on long-duration PUCCH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 xml:space="preserve">The saved resource can be used for PUSCH if PUSCH and PUCCH can be transmitted in the same slot. If there is no PUSCH, the saved resource can be potentially used for SR or ACK/NACK transmission. The worst case is the saved resource is empty. In this case, at least UL interference is reduced and UE power can be saved. </w:t>
      </w:r>
    </w:p>
    <w:p>
      <w:pPr>
        <w:spacing w:after="0" w:line="240" w:lineRule="auto"/>
        <w:jc w:val="center"/>
        <w:rPr>
          <w:rFonts w:ascii="Times New Roman" w:hAnsi="宋体"/>
          <w:sz w:val="20"/>
          <w:szCs w:val="20"/>
        </w:rPr>
      </w:pPr>
      <w:r>
        <w:rPr>
          <w:rFonts w:ascii="Times New Roman" w:hAnsi="宋体"/>
          <w:sz w:val="20"/>
          <w:szCs w:val="20"/>
        </w:rPr>
        <w:pict>
          <v:group id="_x0000_s1033" o:spid="_x0000_s1033" o:spt="203" style="position:absolute;left:0pt;margin-left:136.15pt;margin-top:155.7pt;height:27.35pt;width:136.8pt;z-index:251664384;mso-width-relative:page;mso-height-relative:page;" coordorigin="4163,4554" coordsize="2501,547">
            <o:lock v:ext="edit" aspectratio="f"/>
            <v:shape id="_x0000_s1030" o:spid="_x0000_s1030" o:spt="202" type="#_x0000_t202" style="position:absolute;left:4163;top:4554;height:474;width:791;" fillcolor="#FFFFFF" filled="t" stroked="f" coordsize="21600,21600">
              <v:path/>
              <v:fill on="t" color2="#FFFFFF" focussize="0,0"/>
              <v:stroke on="f"/>
              <v:imagedata o:title=""/>
              <o:lock v:ext="edit" aspectratio="f"/>
              <v:textbox>
                <w:txbxContent>
                  <w:p>
                    <w:pPr>
                      <w:rPr>
                        <w:rFonts w:hint="default" w:ascii="Times New Roman" w:hAnsi="Times New Roman" w:cs="Times New Roman"/>
                        <w:sz w:val="18"/>
                      </w:rPr>
                    </w:pPr>
                    <w:r>
                      <w:rPr>
                        <w:rFonts w:hint="default" w:ascii="Times New Roman" w:hAnsi="Times New Roman" w:cs="Times New Roman"/>
                        <w:sz w:val="18"/>
                      </w:rPr>
                      <w:t>Slot n</w:t>
                    </w:r>
                  </w:p>
                </w:txbxContent>
              </v:textbox>
            </v:shape>
            <v:shape id="_x0000_s1031" o:spid="_x0000_s1031" o:spt="202" type="#_x0000_t202" style="position:absolute;left:5771;top:4564;height:537;width:893;" filled="f" stroked="f" coordsize="21600,21600">
              <v:path/>
              <v:fill on="f" focussize="0,0"/>
              <v:stroke on="f"/>
              <v:imagedata o:title=""/>
              <o:lock v:ext="edit" aspectratio="f"/>
              <v:textbox>
                <w:txbxContent>
                  <w:p>
                    <w:pPr>
                      <w:rPr>
                        <w:rFonts w:hint="default" w:ascii="Times New Roman" w:hAnsi="Times New Roman" w:cs="Times New Roman"/>
                        <w:sz w:val="18"/>
                      </w:rPr>
                    </w:pPr>
                    <w:r>
                      <w:rPr>
                        <w:rFonts w:hint="default" w:ascii="Times New Roman" w:hAnsi="Times New Roman" w:cs="Times New Roman"/>
                        <w:sz w:val="18"/>
                      </w:rPr>
                      <w:t>Slot n+2</w:t>
                    </w:r>
                  </w:p>
                </w:txbxContent>
              </v:textbox>
            </v:shape>
          </v:group>
        </w:pict>
      </w:r>
      <w:r>
        <w:rPr>
          <w:rFonts w:ascii="Times New Roman" w:hAnsi="宋体"/>
          <w:sz w:val="20"/>
          <w:szCs w:val="20"/>
        </w:rPr>
        <w:pict>
          <v:shape id="_x0000_s1032" o:spid="_x0000_s1032" o:spt="202" type="#_x0000_t202" style="position:absolute;left:0pt;margin-left:252.4pt;margin-top:164.3pt;height:14.35pt;width:15.25pt;z-index:251662336;mso-width-relative:margin;mso-height-relative:margin;" fillcolor="#FFFFFF [3212]" filled="t" stroked="f" coordsize="21600,21600">
            <v:path/>
            <v:fill on="t" focussize="0,0"/>
            <v:stroke on="f" joinstyle="miter"/>
            <v:imagedata o:title=""/>
            <o:lock v:ext="edit"/>
            <v:textbox>
              <w:txbxContent>
                <w:p>
                  <w:pPr>
                    <w:rPr>
                      <w:sz w:val="13"/>
                    </w:rPr>
                  </w:pPr>
                </w:p>
              </w:txbxContent>
            </v:textbox>
          </v:shape>
        </w:pict>
      </w:r>
      <w:r>
        <w:rPr>
          <w:rFonts w:ascii="Times New Roman" w:hAnsi="宋体"/>
          <w:sz w:val="20"/>
          <w:szCs w:val="20"/>
        </w:rPr>
        <w:object>
          <v:shape id="_x0000_i1026" o:spt="75" type="#_x0000_t75" style="height:170.85pt;width:186.45pt;" o:ole="t" filled="f" o:preferrelative="t" stroked="f" coordsize="21600,21600">
            <v:path/>
            <v:fill on="f" focussize="0,0"/>
            <v:stroke on="f" joinstyle="miter"/>
            <v:imagedata r:id="rId7" o:title=""/>
            <o:lock v:ext="edit" aspectratio="f"/>
            <w10:wrap type="none"/>
            <w10:anchorlock/>
          </v:shape>
          <o:OLEObject Type="Embed" ProgID="Visio.Drawing.11" ShapeID="_x0000_i1026" DrawAspect="Content" ObjectID="_1468075726" r:id="rId6">
            <o:LockedField>false</o:LockedField>
          </o:OLEObject>
        </w:object>
      </w:r>
    </w:p>
    <w:p>
      <w:pPr>
        <w:spacing w:after="0" w:line="240" w:lineRule="auto"/>
        <w:jc w:val="center"/>
        <w:rPr>
          <w:rFonts w:ascii="Times New Roman" w:hAnsi="宋体"/>
          <w:sz w:val="20"/>
          <w:szCs w:val="20"/>
        </w:rPr>
      </w:pPr>
      <w:r>
        <w:rPr>
          <w:rFonts w:ascii="Times New Roman" w:hAnsi="宋体"/>
          <w:sz w:val="20"/>
          <w:szCs w:val="20"/>
        </w:rPr>
        <w:t xml:space="preserve">Fig. 2 PUCCH CSI report on </w:t>
      </w:r>
      <w:r>
        <w:rPr>
          <w:rFonts w:hint="eastAsia" w:ascii="Times New Roman" w:hAnsi="宋体"/>
          <w:sz w:val="20"/>
          <w:szCs w:val="20"/>
        </w:rPr>
        <w:t>two</w:t>
      </w:r>
      <w:r>
        <w:rPr>
          <w:rFonts w:ascii="Times New Roman" w:hAnsi="宋体"/>
          <w:sz w:val="20"/>
          <w:szCs w:val="20"/>
        </w:rPr>
        <w:t xml:space="preserve"> slots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sz w:val="20"/>
          <w:szCs w:val="20"/>
        </w:rPr>
      </w:pPr>
      <w:r>
        <w:rPr>
          <w:rFonts w:hint="eastAsia" w:ascii="Times New Roman" w:hAnsi="宋体"/>
          <w:sz w:val="20"/>
          <w:szCs w:val="20"/>
        </w:rPr>
        <w:t>If RI/PMI/CQI are reported in two slots, gNB can determines number of PUCCH resources used for CSI report in later slots based on detection of RI reported in the first slot. A three-slot example is shown in Fig. 2. There is 1 slot gap between these two slots. After a fast resource allocation performed by gNB, which is doable in NR, resource utilization is quite efficient with a cost of slight increase of CSI latency. In this case, the number of resources, for example, number of symbols, used for PUCCH CSI report can be indicated by RI value reported in earlier slot. Thus gNB does not need to signal this parameter in DCI, which means DCI overhead can be saved.</w:t>
      </w:r>
    </w:p>
    <w:p>
      <w:pPr>
        <w:keepNext w:val="0"/>
        <w:keepLines w:val="0"/>
        <w:pageBreakBefore w:val="0"/>
        <w:widowControl/>
        <w:numPr>
          <w:ilvl w:val="0"/>
          <w:numId w:val="0"/>
        </w:numPr>
        <w:kinsoku/>
        <w:wordWrap/>
        <w:overflowPunct/>
        <w:topLinePunct w:val="0"/>
        <w:autoSpaceDE/>
        <w:autoSpaceDN/>
        <w:bidi w:val="0"/>
        <w:adjustRightInd w:val="0"/>
        <w:snapToGrid w:val="0"/>
        <w:spacing w:before="120" w:after="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3</w:t>
      </w:r>
      <w:r>
        <w:rPr>
          <w:rFonts w:hint="eastAsia" w:ascii="Times New Roman" w:hAnsi="宋体"/>
          <w:b/>
          <w:bCs/>
          <w:i/>
          <w:iCs/>
          <w:sz w:val="20"/>
          <w:szCs w:val="20"/>
        </w:rPr>
        <w:t>:</w:t>
      </w:r>
      <w:r>
        <w:rPr>
          <w:rFonts w:hint="eastAsia" w:ascii="Times New Roman" w:hAnsi="宋体"/>
          <w:i/>
          <w:iCs/>
          <w:sz w:val="20"/>
          <w:szCs w:val="20"/>
        </w:rPr>
        <w:t xml:space="preserve"> </w:t>
      </w:r>
      <w:r>
        <w:rPr>
          <w:rFonts w:hint="eastAsia" w:ascii="Times New Roman" w:hAnsi="宋体"/>
          <w:i/>
          <w:iCs/>
          <w:sz w:val="20"/>
          <w:szCs w:val="20"/>
          <w:lang w:val="en-US" w:eastAsia="zh-CN"/>
        </w:rPr>
        <w:t>For NR PUCCH CSI reporting, RI is encoded separately with PMI/CQI.</w:t>
      </w:r>
    </w:p>
    <w:p>
      <w:pPr>
        <w:keepNext w:val="0"/>
        <w:keepLines w:val="0"/>
        <w:pageBreakBefore w:val="0"/>
        <w:widowControl/>
        <w:numPr>
          <w:ilvl w:val="0"/>
          <w:numId w:val="11"/>
        </w:numPr>
        <w:kinsoku/>
        <w:wordWrap/>
        <w:overflowPunct/>
        <w:topLinePunct w:val="0"/>
        <w:autoSpaceDE/>
        <w:autoSpaceDN/>
        <w:bidi w:val="0"/>
        <w:adjustRightInd w:val="0"/>
        <w:snapToGrid w:val="0"/>
        <w:spacing w:after="200" w:line="240" w:lineRule="auto"/>
        <w:ind w:left="840" w:leftChars="0" w:right="0" w:rightChars="0" w:hanging="420" w:firstLineChars="0"/>
        <w:jc w:val="both"/>
        <w:textAlignment w:val="auto"/>
        <w:outlineLvl w:val="9"/>
        <w:rPr>
          <w:rFonts w:hint="eastAsia" w:ascii="Times New Roman" w:hAnsi="宋体"/>
          <w:i/>
          <w:iCs/>
          <w:sz w:val="20"/>
          <w:szCs w:val="20"/>
          <w:lang w:val="en-US" w:eastAsia="zh-CN"/>
        </w:rPr>
      </w:pPr>
      <w:r>
        <w:rPr>
          <w:rFonts w:hint="eastAsia" w:ascii="Times New Roman" w:hAnsi="宋体"/>
          <w:i/>
          <w:iCs/>
          <w:sz w:val="20"/>
          <w:szCs w:val="20"/>
          <w:lang w:val="en-US" w:eastAsia="zh-CN"/>
        </w:rPr>
        <w:t>Number of resources used for PMI/CQI reporting depends on RI value.</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Conclusions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Times New Roman"/>
          <w:sz w:val="20"/>
          <w:szCs w:val="20"/>
        </w:rPr>
      </w:pPr>
      <w:r>
        <w:rPr>
          <w:rFonts w:hint="eastAsia" w:ascii="Times New Roman" w:hAnsi="Times New Roman"/>
          <w:sz w:val="20"/>
          <w:szCs w:val="20"/>
        </w:rPr>
        <w:t>In this contribution, we discuss the detailed design of Type I and Type II CSI report on PUCCH. Based on the discussion, we have the following observations and proposals.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Observation 1:</w:t>
      </w:r>
      <w:r>
        <w:rPr>
          <w:rFonts w:hint="eastAsia" w:ascii="Times New Roman" w:hAnsi="宋体"/>
          <w:i/>
          <w:iCs/>
          <w:sz w:val="20"/>
          <w:szCs w:val="20"/>
        </w:rPr>
        <w:t xml:space="preserve"> For both NR Type I and Type II codebooks, payload size of PMI depends on RI values.</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Observation 2:</w:t>
      </w:r>
      <w:r>
        <w:rPr>
          <w:rFonts w:hint="eastAsia" w:ascii="Times New Roman" w:hAnsi="宋体"/>
          <w:i/>
          <w:iCs/>
          <w:sz w:val="20"/>
          <w:szCs w:val="20"/>
        </w:rPr>
        <w:t xml:space="preserve"> CSI latency has non-negligible impact on system performance. Especially, cell-edge performance can be impacted significantly.</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lang w:val="en-US" w:eastAsia="zh-CN"/>
        </w:rPr>
        <w:t>Proposal 1:</w:t>
      </w:r>
      <w:r>
        <w:rPr>
          <w:rFonts w:hint="eastAsia" w:ascii="Times New Roman" w:hAnsi="宋体"/>
          <w:i/>
          <w:iCs/>
          <w:sz w:val="20"/>
          <w:szCs w:val="20"/>
          <w:lang w:val="en-US" w:eastAsia="zh-CN"/>
        </w:rPr>
        <w:t xml:space="preserve"> At least WB Type II CSI is supported on NR PUCCH.</w:t>
      </w:r>
    </w:p>
    <w:p>
      <w:pPr>
        <w:keepNext w:val="0"/>
        <w:keepLines w:val="0"/>
        <w:pageBreakBefore w:val="0"/>
        <w:widowControl/>
        <w:kinsoku/>
        <w:wordWrap/>
        <w:overflowPunct/>
        <w:topLinePunct w:val="0"/>
        <w:autoSpaceDE/>
        <w:autoSpaceDN/>
        <w:bidi w:val="0"/>
        <w:adjustRightInd w:val="0"/>
        <w:snapToGrid w:val="0"/>
        <w:spacing w:before="120" w:after="200" w:line="240" w:lineRule="auto"/>
        <w:ind w:left="0" w:leftChars="0" w:right="0" w:rightChars="0" w:firstLine="0" w:firstLineChars="0"/>
        <w:jc w:val="both"/>
        <w:textAlignment w:val="auto"/>
        <w:outlineLvl w:val="9"/>
        <w:rPr>
          <w:rFonts w:ascii="Times New Roman" w:hAnsi="宋体"/>
          <w:i/>
          <w:iCs/>
          <w:sz w:val="20"/>
          <w:szCs w:val="20"/>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2</w:t>
      </w:r>
      <w:r>
        <w:rPr>
          <w:rFonts w:hint="eastAsia" w:ascii="Times New Roman" w:hAnsi="宋体"/>
          <w:b/>
          <w:bCs/>
          <w:i/>
          <w:iCs/>
          <w:sz w:val="20"/>
          <w:szCs w:val="20"/>
        </w:rPr>
        <w:t>:</w:t>
      </w:r>
      <w:r>
        <w:rPr>
          <w:rFonts w:hint="eastAsia" w:ascii="Times New Roman" w:hAnsi="宋体"/>
          <w:i/>
          <w:iCs/>
          <w:sz w:val="20"/>
          <w:szCs w:val="20"/>
        </w:rPr>
        <w:t xml:space="preserve"> For NR PUCCH CSI reporting,</w:t>
      </w:r>
      <w:r>
        <w:rPr>
          <w:rFonts w:hint="eastAsia" w:ascii="Times New Roman" w:hAnsi="宋体"/>
          <w:i/>
          <w:iCs/>
          <w:sz w:val="20"/>
          <w:szCs w:val="20"/>
          <w:lang w:val="en-US" w:eastAsia="zh-CN"/>
        </w:rPr>
        <w:t xml:space="preserve"> support</w:t>
      </w:r>
      <w:r>
        <w:rPr>
          <w:rFonts w:hint="eastAsia" w:ascii="Times New Roman" w:hAnsi="宋体"/>
          <w:i/>
          <w:iCs/>
          <w:sz w:val="20"/>
          <w:szCs w:val="20"/>
        </w:rPr>
        <w:t xml:space="preserve"> a CSI reporting containing RI/PMI/CQI in one slot, adjacent 2 </w:t>
      </w:r>
      <w:r>
        <w:rPr>
          <w:rFonts w:hint="eastAsia" w:ascii="Times New Roman" w:hAnsi="宋体"/>
          <w:i/>
          <w:iCs/>
          <w:sz w:val="20"/>
          <w:szCs w:val="20"/>
          <w:lang w:val="en-US" w:eastAsia="zh-CN"/>
        </w:rPr>
        <w:t>s</w:t>
      </w:r>
      <w:r>
        <w:rPr>
          <w:rFonts w:hint="eastAsia" w:ascii="Times New Roman" w:hAnsi="宋体"/>
          <w:i/>
          <w:iCs/>
          <w:sz w:val="20"/>
          <w:szCs w:val="20"/>
        </w:rPr>
        <w:t>lots or 2 slots with one slot gap.</w:t>
      </w:r>
    </w:p>
    <w:p>
      <w:pPr>
        <w:keepNext w:val="0"/>
        <w:keepLines w:val="0"/>
        <w:pageBreakBefore w:val="0"/>
        <w:widowControl/>
        <w:numPr>
          <w:ilvl w:val="0"/>
          <w:numId w:val="0"/>
        </w:numPr>
        <w:kinsoku/>
        <w:wordWrap/>
        <w:overflowPunct/>
        <w:topLinePunct w:val="0"/>
        <w:autoSpaceDE/>
        <w:autoSpaceDN/>
        <w:bidi w:val="0"/>
        <w:adjustRightInd w:val="0"/>
        <w:snapToGrid w:val="0"/>
        <w:spacing w:before="120" w:after="0" w:line="240" w:lineRule="auto"/>
        <w:ind w:left="0" w:leftChars="0" w:right="0" w:rightChars="0" w:firstLine="0" w:firstLineChars="0"/>
        <w:jc w:val="both"/>
        <w:textAlignment w:val="auto"/>
        <w:outlineLvl w:val="9"/>
        <w:rPr>
          <w:rFonts w:hint="eastAsia" w:ascii="Times New Roman" w:hAnsi="宋体"/>
          <w:i/>
          <w:iCs/>
          <w:sz w:val="20"/>
          <w:szCs w:val="20"/>
          <w:lang w:val="en-US" w:eastAsia="zh-CN"/>
        </w:rPr>
      </w:pPr>
      <w:r>
        <w:rPr>
          <w:rFonts w:hint="eastAsia" w:ascii="Times New Roman" w:hAnsi="宋体"/>
          <w:b/>
          <w:bCs/>
          <w:i/>
          <w:iCs/>
          <w:sz w:val="20"/>
          <w:szCs w:val="20"/>
        </w:rPr>
        <w:t xml:space="preserve">Proposal </w:t>
      </w:r>
      <w:r>
        <w:rPr>
          <w:rFonts w:hint="eastAsia" w:ascii="Times New Roman" w:hAnsi="宋体"/>
          <w:b/>
          <w:bCs/>
          <w:i/>
          <w:iCs/>
          <w:sz w:val="20"/>
          <w:szCs w:val="20"/>
          <w:lang w:val="en-US" w:eastAsia="zh-CN"/>
        </w:rPr>
        <w:t>3</w:t>
      </w:r>
      <w:r>
        <w:rPr>
          <w:rFonts w:hint="eastAsia" w:ascii="Times New Roman" w:hAnsi="宋体"/>
          <w:b/>
          <w:bCs/>
          <w:i/>
          <w:iCs/>
          <w:sz w:val="20"/>
          <w:szCs w:val="20"/>
        </w:rPr>
        <w:t>:</w:t>
      </w:r>
      <w:r>
        <w:rPr>
          <w:rFonts w:hint="eastAsia" w:ascii="Times New Roman" w:hAnsi="宋体"/>
          <w:i/>
          <w:iCs/>
          <w:sz w:val="20"/>
          <w:szCs w:val="20"/>
        </w:rPr>
        <w:t xml:space="preserve"> </w:t>
      </w:r>
      <w:r>
        <w:rPr>
          <w:rFonts w:hint="eastAsia" w:ascii="Times New Roman" w:hAnsi="宋体"/>
          <w:i/>
          <w:iCs/>
          <w:sz w:val="20"/>
          <w:szCs w:val="20"/>
          <w:lang w:val="en-US" w:eastAsia="zh-CN"/>
        </w:rPr>
        <w:t>For NR PUCCH CSI reporting, RI is encoded separately with PMI/CQI.</w:t>
      </w:r>
    </w:p>
    <w:p>
      <w:pPr>
        <w:keepNext w:val="0"/>
        <w:keepLines w:val="0"/>
        <w:pageBreakBefore w:val="0"/>
        <w:widowControl/>
        <w:numPr>
          <w:ilvl w:val="0"/>
          <w:numId w:val="11"/>
        </w:numPr>
        <w:kinsoku/>
        <w:wordWrap/>
        <w:overflowPunct/>
        <w:topLinePunct w:val="0"/>
        <w:autoSpaceDE/>
        <w:autoSpaceDN/>
        <w:bidi w:val="0"/>
        <w:adjustRightInd w:val="0"/>
        <w:snapToGrid w:val="0"/>
        <w:spacing w:after="200" w:line="240" w:lineRule="auto"/>
        <w:ind w:left="840" w:leftChars="0" w:right="0" w:rightChars="0" w:hanging="420" w:firstLineChars="0"/>
        <w:jc w:val="both"/>
        <w:textAlignment w:val="auto"/>
        <w:outlineLvl w:val="9"/>
        <w:rPr>
          <w:rFonts w:hint="eastAsia" w:ascii="Times New Roman" w:hAnsi="宋体"/>
          <w:i/>
          <w:iCs/>
          <w:sz w:val="20"/>
          <w:szCs w:val="20"/>
          <w:lang w:val="en-US" w:eastAsia="zh-CN"/>
        </w:rPr>
      </w:pPr>
      <w:r>
        <w:rPr>
          <w:rFonts w:hint="eastAsia" w:ascii="Times New Roman" w:hAnsi="宋体"/>
          <w:i/>
          <w:iCs/>
          <w:sz w:val="20"/>
          <w:szCs w:val="20"/>
          <w:lang w:val="en-US" w:eastAsia="zh-CN"/>
        </w:rPr>
        <w:t>Number of resources used for PMI/CQI reporting depends on RI value.</w:t>
      </w:r>
    </w:p>
    <w:p>
      <w:pPr>
        <w:numPr>
          <w:ilvl w:val="0"/>
          <w:numId w:val="7"/>
        </w:numPr>
        <w:spacing w:before="120" w:after="0" w:line="240" w:lineRule="auto"/>
        <w:ind w:left="357" w:hanging="357"/>
        <w:rPr>
          <w:rFonts w:ascii="Times New Roman" w:hAnsi="Times New Roman"/>
          <w:b/>
          <w:sz w:val="24"/>
          <w:szCs w:val="24"/>
        </w:rPr>
      </w:pPr>
      <w:r>
        <w:rPr>
          <w:rFonts w:hint="eastAsia" w:ascii="Times New Roman" w:hAnsi="Times New Roman"/>
          <w:b/>
          <w:sz w:val="24"/>
          <w:szCs w:val="24"/>
        </w:rPr>
        <w:t>Reference</w:t>
      </w:r>
      <w:r>
        <w:rPr>
          <w:rFonts w:ascii="Times New Roman" w:hAnsi="Times New Roman"/>
          <w:b/>
          <w:sz w:val="24"/>
          <w:szCs w:val="24"/>
        </w:rPr>
        <w:t>s</w:t>
      </w:r>
      <w:r>
        <w:rPr>
          <w:rFonts w:hint="eastAsia" w:ascii="Times New Roman" w:hAnsi="Times New Roman"/>
          <w:b/>
          <w:sz w:val="24"/>
          <w:szCs w:val="24"/>
        </w:rPr>
        <w:t xml:space="preserve"> </w:t>
      </w:r>
    </w:p>
    <w:p>
      <w:pPr>
        <w:pStyle w:val="36"/>
        <w:keepNext w:val="0"/>
        <w:keepLines w:val="0"/>
        <w:pageBreakBefore w:val="0"/>
        <w:widowControl/>
        <w:kinsoku/>
        <w:wordWrap/>
        <w:overflowPunct/>
        <w:topLinePunct w:val="0"/>
        <w:autoSpaceDE/>
        <w:autoSpaceDN/>
        <w:bidi w:val="0"/>
        <w:adjustRightInd w:val="0"/>
        <w:snapToGrid w:val="0"/>
        <w:spacing w:line="276" w:lineRule="auto"/>
        <w:ind w:left="0" w:leftChars="0" w:right="0" w:rightChars="0" w:firstLine="0" w:firstLineChars="0"/>
        <w:jc w:val="left"/>
        <w:textAlignment w:val="auto"/>
        <w:outlineLvl w:val="9"/>
        <w:rPr>
          <w:rFonts w:hint="eastAsia" w:ascii="Times New Roman" w:hAnsi="Times New Roman"/>
          <w:sz w:val="20"/>
          <w:szCs w:val="20"/>
        </w:rPr>
      </w:pPr>
      <w:r>
        <w:rPr>
          <w:rFonts w:ascii="Times New Roman" w:hAnsi="Times New Roman"/>
          <w:sz w:val="20"/>
          <w:szCs w:val="20"/>
        </w:rPr>
        <w:t>[</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 xml:space="preserve"> Chairman</w:t>
      </w:r>
      <w:r>
        <w:rPr>
          <w:rFonts w:ascii="Times New Roman" w:hAnsi="Times New Roman"/>
          <w:sz w:val="20"/>
          <w:szCs w:val="20"/>
        </w:rPr>
        <w:t>’</w:t>
      </w:r>
      <w:r>
        <w:rPr>
          <w:rFonts w:hint="eastAsia" w:ascii="Times New Roman" w:hAnsi="Times New Roman"/>
          <w:sz w:val="20"/>
          <w:szCs w:val="20"/>
        </w:rPr>
        <w:t>s notes, 3GPP RAN1#89</w:t>
      </w:r>
    </w:p>
    <w:p>
      <w:pPr>
        <w:pStyle w:val="36"/>
        <w:keepNext w:val="0"/>
        <w:keepLines w:val="0"/>
        <w:pageBreakBefore w:val="0"/>
        <w:widowControl/>
        <w:kinsoku/>
        <w:wordWrap/>
        <w:overflowPunct/>
        <w:topLinePunct w:val="0"/>
        <w:autoSpaceDE/>
        <w:autoSpaceDN/>
        <w:bidi w:val="0"/>
        <w:adjustRightInd w:val="0"/>
        <w:snapToGrid w:val="0"/>
        <w:spacing w:line="276" w:lineRule="auto"/>
        <w:ind w:left="0" w:leftChars="0" w:right="0" w:rightChars="0" w:firstLine="0" w:firstLineChars="0"/>
        <w:jc w:val="left"/>
        <w:textAlignment w:val="auto"/>
        <w:outlineLvl w:val="9"/>
        <w:rPr>
          <w:rFonts w:hint="eastAsia" w:ascii="Times New Roman" w:hAnsi="Times New Roman" w:eastAsia="宋体"/>
          <w:sz w:val="20"/>
          <w:szCs w:val="20"/>
          <w:lang w:val="en-US" w:eastAsia="zh-CN"/>
        </w:rPr>
      </w:pPr>
      <w:r>
        <w:rPr>
          <w:rFonts w:hint="eastAsia" w:ascii="Times New Roman" w:hAnsi="Times New Roman"/>
          <w:sz w:val="20"/>
          <w:szCs w:val="20"/>
          <w:lang w:val="en-US" w:eastAsia="zh-CN"/>
        </w:rPr>
        <w:t>[2] Chairman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notes, 3GPP RAN1 NR Ad Hoc #2</w:t>
      </w:r>
    </w:p>
    <w:p>
      <w:pPr>
        <w:numPr>
          <w:ilvl w:val="0"/>
          <w:numId w:val="7"/>
        </w:numPr>
        <w:spacing w:before="120" w:after="0" w:line="240" w:lineRule="auto"/>
        <w:ind w:left="357" w:hanging="357"/>
        <w:rPr>
          <w:rFonts w:ascii="Times New Roman" w:hAnsi="Times New Roman"/>
          <w:b/>
          <w:bCs/>
        </w:rPr>
      </w:pPr>
      <w:r>
        <w:rPr>
          <w:rFonts w:hint="eastAsia" w:ascii="Times New Roman" w:hAnsi="Times New Roman"/>
          <w:b/>
          <w:bCs/>
        </w:rPr>
        <w:t>Appendix</w:t>
      </w:r>
    </w:p>
    <w:tbl>
      <w:tblPr>
        <w:tblStyle w:val="21"/>
        <w:tblW w:w="7605" w:type="dxa"/>
        <w:jc w:val="center"/>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006"/>
        <w:gridCol w:w="4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CellSpacing w:w="0" w:type="dxa"/>
          <w:jc w:val="center"/>
        </w:trPr>
        <w:tc>
          <w:tcPr>
            <w:tcW w:w="7605" w:type="dxa"/>
            <w:gridSpan w:val="2"/>
            <w:shd w:val="clear" w:color="auto" w:fill="F2DBDB" w:themeFill="accent2" w:themeFillTint="33"/>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System level simulation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Scenarios</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3D-UMi 200m ISD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Antenna Configurations</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2x1 virtualization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Antenna Spacing</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(dV,dH)=( 0.8λ,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Number of UE antenna</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2Rx cross-polarized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Traffic model</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FTP 1 with packet size 0.5M 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OLLA</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Target at 10%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CSI-RS</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Overhead is accounted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HARQ</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Max 4 retransmissions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Transmission rank</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SU/MU pre-coding</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Scheduling</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Proportional fair, up to 2 UEs, up to 2 layers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CQI/PMI reporting frequency granularity</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6RB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Delay for scheduling and AMC</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6ms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Receiver</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MMSE-IRC. With non-ideal interference covariance matrix estimation by using complex Wishart distribution with 12 degrees of freedom (Model in TR36.829 with DMRS based sample covariance matrix)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HARQ Scheme</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Chase Combining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Maximum number of retransmissions</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Traffic model</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FTP1 model with 0.5Mbyte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Feedback Assumption</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 xml:space="preserve">Non-ideal modeling of channel estimation error modeling </w:t>
            </w:r>
            <w:r>
              <w:rPr>
                <w:rFonts w:hint="eastAsia" w:ascii="Times New Roman" w:hAnsi="Times New Roman"/>
                <w:sz w:val="20"/>
                <w:szCs w:val="20"/>
              </w:rPr>
              <w:object>
                <v:shape id="_x0000_i1027" o:spt="75" type="#_x0000_t75" style="height:15.6pt;width:61.25pt;" o:ole="t" filled="f" o:preferrelative="t" stroked="f" coordsize="21600,21600">
                  <v:path/>
                  <v:fill on="f" focussize="0,0"/>
                  <v:stroke on="f" joinstyle="miter"/>
                  <v:imagedata r:id="rId9" o:title=""/>
                  <o:lock v:ext="edit" aspectratio="t"/>
                  <w10:wrap type="none"/>
                  <w10:anchorlock/>
                </v:shape>
                <o:OLEObject Type="Embed" ProgID="Equation.DSMT4" ShapeID="_x0000_i1027" DrawAspect="Content" ObjectID="_1468075727" r:id="rId8">
                  <o:LockedField>false</o:LockedField>
                </o:OLEObject>
              </w:object>
            </w:r>
            <w:r>
              <w:rPr>
                <w:rFonts w:hint="eastAsia" w:ascii="Times New Roman" w:hAnsi="Times New Roman"/>
                <w:sz w:val="20"/>
                <w:szCs w:val="20"/>
              </w:rPr>
              <w:t>is used, based on DMRS for data demodulation, based on IMR for interference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blCellSpacing w:w="0" w:type="dxa"/>
          <w:jc w:val="center"/>
        </w:trPr>
        <w:tc>
          <w:tcPr>
            <w:tcW w:w="3006"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 xml:space="preserve">Handover margin </w:t>
            </w:r>
          </w:p>
        </w:tc>
        <w:tc>
          <w:tcPr>
            <w:tcW w:w="4599" w:type="dxa"/>
            <w:vAlign w:val="center"/>
          </w:tcPr>
          <w:p>
            <w:pPr>
              <w:spacing w:before="120" w:after="0" w:line="240" w:lineRule="auto"/>
              <w:jc w:val="both"/>
              <w:rPr>
                <w:rFonts w:ascii="Times New Roman" w:hAnsi="Times New Roman"/>
                <w:sz w:val="20"/>
                <w:szCs w:val="20"/>
              </w:rPr>
            </w:pPr>
            <w:r>
              <w:rPr>
                <w:rFonts w:hint="eastAsia" w:ascii="Times New Roman" w:hAnsi="Times New Roman"/>
                <w:sz w:val="20"/>
                <w:szCs w:val="20"/>
              </w:rPr>
              <w:t xml:space="preserve">3dB </w:t>
            </w:r>
          </w:p>
        </w:tc>
      </w:tr>
    </w:tbl>
    <w:p>
      <w:pPr>
        <w:spacing w:before="120" w:after="0" w:line="240" w:lineRule="auto"/>
        <w:jc w:val="both"/>
        <w:rPr>
          <w:rFonts w:ascii="Times New Roman" w:hAnsi="Times New Roman"/>
          <w:sz w:val="20"/>
          <w:szCs w:val="20"/>
        </w:rPr>
      </w:pPr>
      <w:bookmarkStart w:id="1" w:name="_GoBack"/>
      <w:bookmarkEnd w:id="1"/>
    </w:p>
    <w:sectPr>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auto"/>
    <w:pitch w:val="default"/>
    <w:sig w:usb0="80000287" w:usb1="280F3C52" w:usb2="00000016" w:usb3="00000000" w:csb0="0004001F"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MS PGothic">
    <w:panose1 w:val="020B0600070205080204"/>
    <w:charset w:val="80"/>
    <w:family w:val="modern"/>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9" w:usb3="00000000" w:csb0="000001FF" w:csb1="00000000"/>
  </w:font>
  <w:font w:name="Century">
    <w:altName w:val="Nyala"/>
    <w:panose1 w:val="02040604050505020304"/>
    <w:charset w:val="00"/>
    <w:family w:val="roman"/>
    <w:pitch w:val="default"/>
    <w:sig w:usb0="00000000" w:usb1="00000000" w:usb2="00000000" w:usb3="00000000" w:csb0="0000009F" w:csb1="00000000"/>
  </w:font>
  <w:font w:name="游明朝">
    <w:altName w:val="MS Mincho"/>
    <w:panose1 w:val="00000000000000000000"/>
    <w:charset w:val="80"/>
    <w:family w:val="roman"/>
    <w:pitch w:val="default"/>
    <w:sig w:usb0="00000000" w:usb1="00000000" w:usb2="00000000" w:usb3="00000000" w:csb0="00040001" w:csb1="00000000"/>
  </w:font>
  <w:font w:name="游ゴシック Light">
    <w:altName w:val="MS Gothic"/>
    <w:panose1 w:val="020B0300000000000000"/>
    <w:charset w:val="80"/>
    <w:family w:val="modern"/>
    <w:pitch w:val="default"/>
    <w:sig w:usb0="00000000" w:usb1="00000000" w:usb2="00000016" w:usb3="00000000" w:csb0="0002009F" w:csb1="00000000"/>
  </w:font>
  <w:font w:name="Nyala">
    <w:panose1 w:val="02000504070300020003"/>
    <w:charset w:val="00"/>
    <w:family w:val="auto"/>
    <w:pitch w:val="default"/>
    <w:sig w:usb0="A000006F" w:usb1="00000000" w:usb2="00000800" w:usb3="00000000" w:csb0="00000093" w:csb1="00000000"/>
  </w:font>
  <w:font w:name="Segoe Print">
    <w:panose1 w:val="02000600000000000000"/>
    <w:charset w:val="00"/>
    <w:family w:val="auto"/>
    <w:pitch w:val="default"/>
    <w:sig w:usb0="0000028F" w:usb1="00000000" w:usb2="00000000" w:usb3="00000000" w:csb0="2000009F" w:csb1="47010000"/>
  </w:font>
  <w:font w:name="DengXian">
    <w:altName w:val="宋体"/>
    <w:panose1 w:val="00000000000000000000"/>
    <w:charset w:val="86"/>
    <w:family w:val="roman"/>
    <w:pitch w:val="default"/>
    <w:sig w:usb0="00000000" w:usb1="00000000" w:usb2="00000010" w:usb3="00000000" w:csb0="0004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FE1FCF"/>
    <w:multiLevelType w:val="multilevel"/>
    <w:tmpl w:val="26FE1FCF"/>
    <w:lvl w:ilvl="0" w:tentative="0">
      <w:start w:val="1"/>
      <w:numFmt w:val="decimal"/>
      <w:pStyle w:val="62"/>
      <w:lvlText w:val="%1 "/>
      <w:lvlJc w:val="left"/>
      <w:pPr>
        <w:tabs>
          <w:tab w:val="left" w:pos="648"/>
        </w:tabs>
        <w:ind w:firstLine="288"/>
      </w:pPr>
      <w:rPr>
        <w:rFonts w:hint="default" w:ascii="Times New Roman" w:hAnsi="Times New Roman" w:cs="Times New Roman"/>
        <w:b w:val="0"/>
        <w:bCs w:val="0"/>
        <w:i w:val="0"/>
        <w:iCs w:val="0"/>
        <w:caps w:val="0"/>
        <w:strike w:val="0"/>
        <w:dstrike w:val="0"/>
        <w:vanish w:val="0"/>
        <w:color w:val="000000"/>
        <w:sz w:val="16"/>
        <w:szCs w:val="16"/>
        <w:vertAlign w:val="superscript"/>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tentative="0">
      <w:start w:val="1"/>
      <w:numFmt w:val="bullet"/>
      <w:pStyle w:val="59"/>
      <w:lvlText w:val=""/>
      <w:lvlJc w:val="left"/>
      <w:pPr>
        <w:tabs>
          <w:tab w:val="left" w:pos="648"/>
        </w:tabs>
        <w:ind w:left="648"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52CA544A"/>
    <w:multiLevelType w:val="singleLevel"/>
    <w:tmpl w:val="52CA544A"/>
    <w:lvl w:ilvl="0" w:tentative="0">
      <w:start w:val="1"/>
      <w:numFmt w:val="decimal"/>
      <w:pStyle w:val="66"/>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3">
    <w:nsid w:val="596C7B00"/>
    <w:multiLevelType w:val="singleLevel"/>
    <w:tmpl w:val="596C7B00"/>
    <w:lvl w:ilvl="0" w:tentative="0">
      <w:start w:val="1"/>
      <w:numFmt w:val="bullet"/>
      <w:lvlText w:val=""/>
      <w:lvlJc w:val="left"/>
      <w:pPr>
        <w:ind w:left="420" w:leftChars="0" w:hanging="420" w:firstLineChars="0"/>
      </w:pPr>
      <w:rPr>
        <w:rFonts w:hint="default" w:ascii="Wingdings" w:hAnsi="Wingdings"/>
      </w:rPr>
    </w:lvl>
  </w:abstractNum>
  <w:abstractNum w:abstractNumId="4">
    <w:nsid w:val="5B046428"/>
    <w:multiLevelType w:val="multilevel"/>
    <w:tmpl w:val="5B046428"/>
    <w:lvl w:ilvl="0" w:tentative="0">
      <w:start w:val="1"/>
      <w:numFmt w:val="decimal"/>
      <w:lvlText w:val="%1."/>
      <w:lvlJc w:val="left"/>
      <w:pPr>
        <w:ind w:left="360" w:hanging="360"/>
      </w:pPr>
      <w:rPr>
        <w:rFonts w:hint="default"/>
      </w:rPr>
    </w:lvl>
    <w:lvl w:ilvl="1" w:tentative="0">
      <w:start w:val="1"/>
      <w:numFmt w:val="decimal"/>
      <w:lvlText w:val="2.%2"/>
      <w:lvlJc w:val="left"/>
      <w:pPr>
        <w:ind w:left="360" w:hanging="360"/>
      </w:pPr>
      <w:rPr>
        <w:rFonts w:hint="eastAsia"/>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5">
    <w:nsid w:val="5D6D7511"/>
    <w:multiLevelType w:val="multilevel"/>
    <w:tmpl w:val="5D6D75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42F24A5"/>
    <w:multiLevelType w:val="multilevel"/>
    <w:tmpl w:val="642F24A5"/>
    <w:lvl w:ilvl="0" w:tentative="0">
      <w:start w:val="1"/>
      <w:numFmt w:val="bullet"/>
      <w:lvlText w:val="•"/>
      <w:lvlJc w:val="left"/>
      <w:pPr>
        <w:tabs>
          <w:tab w:val="left" w:pos="720"/>
        </w:tabs>
        <w:ind w:left="720" w:hanging="360"/>
      </w:pPr>
      <w:rPr>
        <w:rFonts w:hint="default" w:ascii="Arial" w:hAnsi="Arial"/>
      </w:rPr>
    </w:lvl>
    <w:lvl w:ilvl="1" w:tentative="0">
      <w:start w:val="177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6C402C58"/>
    <w:multiLevelType w:val="multilevel"/>
    <w:tmpl w:val="6C402C58"/>
    <w:lvl w:ilvl="0" w:tentative="0">
      <w:start w:val="1"/>
      <w:numFmt w:val="decimal"/>
      <w:pStyle w:val="61"/>
      <w:lvlText w:val="Figure %1. "/>
      <w:lvlJc w:val="left"/>
      <w:pPr>
        <w:tabs>
          <w:tab w:val="left" w:pos="720"/>
        </w:tabs>
      </w:pPr>
      <w:rPr>
        <w:rFonts w:hint="default" w:ascii="Times New Roman" w:hAnsi="Times New Roman" w:cs="Times New Roman"/>
        <w:b w:val="0"/>
        <w:bCs w:val="0"/>
        <w:i w:val="0"/>
        <w:iCs w:val="0"/>
        <w:color w:val="auto"/>
        <w:sz w:val="16"/>
        <w:szCs w:val="16"/>
      </w:rPr>
    </w:lvl>
    <w:lvl w:ilvl="1" w:tentative="0">
      <w:start w:val="1"/>
      <w:numFmt w:val="lowerLetter"/>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8">
    <w:nsid w:val="6CD32DA8"/>
    <w:multiLevelType w:val="singleLevel"/>
    <w:tmpl w:val="6CD32DA8"/>
    <w:lvl w:ilvl="0" w:tentative="0">
      <w:start w:val="1"/>
      <w:numFmt w:val="upperRoman"/>
      <w:pStyle w:val="72"/>
      <w:lvlText w:val="TABLE %1. "/>
      <w:lvlJc w:val="left"/>
      <w:pPr>
        <w:tabs>
          <w:tab w:val="left" w:pos="1080"/>
        </w:tabs>
      </w:pPr>
      <w:rPr>
        <w:rFonts w:hint="default" w:ascii="Times New Roman" w:hAnsi="Times New Roman" w:cs="Times New Roman"/>
        <w:b w:val="0"/>
        <w:bCs w:val="0"/>
        <w:i w:val="0"/>
        <w:iCs w:val="0"/>
        <w:sz w:val="16"/>
        <w:szCs w:val="16"/>
      </w:rPr>
    </w:lvl>
  </w:abstractNum>
  <w:abstractNum w:abstractNumId="9">
    <w:nsid w:val="6E760327"/>
    <w:multiLevelType w:val="multilevel"/>
    <w:tmpl w:val="6E76032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3182EC4"/>
    <w:multiLevelType w:val="multilevel"/>
    <w:tmpl w:val="73182EC4"/>
    <w:lvl w:ilvl="0" w:tentative="0">
      <w:start w:val="1"/>
      <w:numFmt w:val="bullet"/>
      <w:lvlText w:val="•"/>
      <w:lvlJc w:val="left"/>
      <w:pPr>
        <w:tabs>
          <w:tab w:val="left" w:pos="720"/>
        </w:tabs>
        <w:ind w:left="720" w:hanging="360"/>
      </w:pPr>
      <w:rPr>
        <w:rFonts w:hint="default" w:ascii="Arial" w:hAnsi="Arial"/>
      </w:rPr>
    </w:lvl>
    <w:lvl w:ilvl="1" w:tentative="0">
      <w:start w:val="4012"/>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9"/>
  </w:num>
  <w:num w:numId="2">
    <w:abstractNumId w:val="1"/>
  </w:num>
  <w:num w:numId="3">
    <w:abstractNumId w:val="7"/>
  </w:num>
  <w:num w:numId="4">
    <w:abstractNumId w:val="0"/>
  </w:num>
  <w:num w:numId="5">
    <w:abstractNumId w:val="2"/>
  </w:num>
  <w:num w:numId="6">
    <w:abstractNumId w:val="8"/>
  </w:num>
  <w:num w:numId="7">
    <w:abstractNumId w:val="4"/>
  </w:num>
  <w:num w:numId="8">
    <w:abstractNumId w:val="6"/>
  </w:num>
  <w:num w:numId="9">
    <w:abstractNumId w:val="5"/>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39"/>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4C1"/>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9AF"/>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454"/>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153"/>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5DA"/>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301A"/>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3F1"/>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622"/>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0333"/>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49F1"/>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6423"/>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4BDA"/>
    <w:rsid w:val="00FC52F4"/>
    <w:rsid w:val="00FC59B4"/>
    <w:rsid w:val="00FC7982"/>
    <w:rsid w:val="00FC7AA0"/>
    <w:rsid w:val="00FD00C2"/>
    <w:rsid w:val="00FD0AA7"/>
    <w:rsid w:val="00FD0D03"/>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867718"/>
    <w:rsid w:val="01940263"/>
    <w:rsid w:val="01CC4319"/>
    <w:rsid w:val="02166435"/>
    <w:rsid w:val="023A760F"/>
    <w:rsid w:val="025D552C"/>
    <w:rsid w:val="026D0864"/>
    <w:rsid w:val="02983642"/>
    <w:rsid w:val="02AB34DA"/>
    <w:rsid w:val="02B71F1D"/>
    <w:rsid w:val="02D254FB"/>
    <w:rsid w:val="032701C3"/>
    <w:rsid w:val="032E41D1"/>
    <w:rsid w:val="039C7E88"/>
    <w:rsid w:val="03B41CB5"/>
    <w:rsid w:val="03E75A7C"/>
    <w:rsid w:val="04266C61"/>
    <w:rsid w:val="04323CB0"/>
    <w:rsid w:val="044B0B4F"/>
    <w:rsid w:val="04670BA9"/>
    <w:rsid w:val="049E0F6B"/>
    <w:rsid w:val="055B7561"/>
    <w:rsid w:val="05612487"/>
    <w:rsid w:val="05F862B9"/>
    <w:rsid w:val="06703508"/>
    <w:rsid w:val="076E1FF9"/>
    <w:rsid w:val="079230DA"/>
    <w:rsid w:val="07F02AC9"/>
    <w:rsid w:val="08280D4E"/>
    <w:rsid w:val="082C5750"/>
    <w:rsid w:val="087929C7"/>
    <w:rsid w:val="09405BB6"/>
    <w:rsid w:val="09442F11"/>
    <w:rsid w:val="099638C4"/>
    <w:rsid w:val="09C91808"/>
    <w:rsid w:val="0A221872"/>
    <w:rsid w:val="0A523F75"/>
    <w:rsid w:val="0A95792C"/>
    <w:rsid w:val="0AA0150E"/>
    <w:rsid w:val="0AB473FF"/>
    <w:rsid w:val="0AF03F33"/>
    <w:rsid w:val="0B3248D6"/>
    <w:rsid w:val="0B5E25C6"/>
    <w:rsid w:val="0B6370B2"/>
    <w:rsid w:val="0B7B6DB9"/>
    <w:rsid w:val="0C0D156F"/>
    <w:rsid w:val="0C581265"/>
    <w:rsid w:val="0CB35D99"/>
    <w:rsid w:val="0CE96BCF"/>
    <w:rsid w:val="0DD62931"/>
    <w:rsid w:val="0DD65B34"/>
    <w:rsid w:val="0E7618E3"/>
    <w:rsid w:val="0F646EC3"/>
    <w:rsid w:val="0F700DBD"/>
    <w:rsid w:val="0F7929DC"/>
    <w:rsid w:val="0F9D2FAF"/>
    <w:rsid w:val="103C7EAE"/>
    <w:rsid w:val="109C336D"/>
    <w:rsid w:val="10ED4B29"/>
    <w:rsid w:val="1126535B"/>
    <w:rsid w:val="11EF471F"/>
    <w:rsid w:val="132A4672"/>
    <w:rsid w:val="13903271"/>
    <w:rsid w:val="13B068AF"/>
    <w:rsid w:val="13BE11A3"/>
    <w:rsid w:val="14D278B3"/>
    <w:rsid w:val="154026B4"/>
    <w:rsid w:val="157065E4"/>
    <w:rsid w:val="159E7E0F"/>
    <w:rsid w:val="15AF19F0"/>
    <w:rsid w:val="15C947FE"/>
    <w:rsid w:val="169E5539"/>
    <w:rsid w:val="16D52CDF"/>
    <w:rsid w:val="1740662C"/>
    <w:rsid w:val="17833684"/>
    <w:rsid w:val="1783595F"/>
    <w:rsid w:val="17BB0AF1"/>
    <w:rsid w:val="17BE0FB5"/>
    <w:rsid w:val="17EB18C5"/>
    <w:rsid w:val="182D25E0"/>
    <w:rsid w:val="18D52731"/>
    <w:rsid w:val="18DC3B81"/>
    <w:rsid w:val="197E3974"/>
    <w:rsid w:val="199A2ED7"/>
    <w:rsid w:val="199B54D9"/>
    <w:rsid w:val="1A2B2F6B"/>
    <w:rsid w:val="1C255016"/>
    <w:rsid w:val="1C7A564F"/>
    <w:rsid w:val="1CA8338B"/>
    <w:rsid w:val="1D2D0BDE"/>
    <w:rsid w:val="1D425E7A"/>
    <w:rsid w:val="1DB64D91"/>
    <w:rsid w:val="1E8A04E2"/>
    <w:rsid w:val="1EFF3E71"/>
    <w:rsid w:val="1EFF704D"/>
    <w:rsid w:val="1F836F63"/>
    <w:rsid w:val="20E63F45"/>
    <w:rsid w:val="20EF1C07"/>
    <w:rsid w:val="20F343F7"/>
    <w:rsid w:val="21102BA8"/>
    <w:rsid w:val="212A133E"/>
    <w:rsid w:val="22536476"/>
    <w:rsid w:val="22597AA5"/>
    <w:rsid w:val="22C7544E"/>
    <w:rsid w:val="23380F17"/>
    <w:rsid w:val="23702CB4"/>
    <w:rsid w:val="23E34F15"/>
    <w:rsid w:val="240062B4"/>
    <w:rsid w:val="24036739"/>
    <w:rsid w:val="24507AEB"/>
    <w:rsid w:val="2496503B"/>
    <w:rsid w:val="25386256"/>
    <w:rsid w:val="256231A2"/>
    <w:rsid w:val="26D32136"/>
    <w:rsid w:val="27E50482"/>
    <w:rsid w:val="280A75A7"/>
    <w:rsid w:val="281255F8"/>
    <w:rsid w:val="28323780"/>
    <w:rsid w:val="283447B6"/>
    <w:rsid w:val="28C20FF0"/>
    <w:rsid w:val="28CF26DA"/>
    <w:rsid w:val="295B0BF9"/>
    <w:rsid w:val="29BD47E7"/>
    <w:rsid w:val="29D12F08"/>
    <w:rsid w:val="2AB13030"/>
    <w:rsid w:val="2AEF704E"/>
    <w:rsid w:val="2B670973"/>
    <w:rsid w:val="2BF62288"/>
    <w:rsid w:val="2C10641D"/>
    <w:rsid w:val="2C3D1D90"/>
    <w:rsid w:val="2C7D1B25"/>
    <w:rsid w:val="2C981145"/>
    <w:rsid w:val="2D2961F0"/>
    <w:rsid w:val="2D4E3096"/>
    <w:rsid w:val="2DA75ED8"/>
    <w:rsid w:val="2DAD6F45"/>
    <w:rsid w:val="2DBD0F84"/>
    <w:rsid w:val="2DC1461C"/>
    <w:rsid w:val="2E084B8B"/>
    <w:rsid w:val="2E876FD2"/>
    <w:rsid w:val="2EBB70FA"/>
    <w:rsid w:val="2EBE36D5"/>
    <w:rsid w:val="2F134D66"/>
    <w:rsid w:val="2F7E4F2A"/>
    <w:rsid w:val="2F987040"/>
    <w:rsid w:val="2FD66263"/>
    <w:rsid w:val="2FFF663B"/>
    <w:rsid w:val="30B56A70"/>
    <w:rsid w:val="31183FFF"/>
    <w:rsid w:val="311923D8"/>
    <w:rsid w:val="31F97DF7"/>
    <w:rsid w:val="325952E0"/>
    <w:rsid w:val="327C7866"/>
    <w:rsid w:val="330673DF"/>
    <w:rsid w:val="332D7452"/>
    <w:rsid w:val="33545A57"/>
    <w:rsid w:val="340C5262"/>
    <w:rsid w:val="34B875CF"/>
    <w:rsid w:val="353104BA"/>
    <w:rsid w:val="354B5AE3"/>
    <w:rsid w:val="35C37543"/>
    <w:rsid w:val="360B4756"/>
    <w:rsid w:val="36391C9C"/>
    <w:rsid w:val="36555CC8"/>
    <w:rsid w:val="36926223"/>
    <w:rsid w:val="36986A3A"/>
    <w:rsid w:val="36CB4341"/>
    <w:rsid w:val="36EB3B3B"/>
    <w:rsid w:val="36F56A76"/>
    <w:rsid w:val="37013198"/>
    <w:rsid w:val="3711154C"/>
    <w:rsid w:val="373231FF"/>
    <w:rsid w:val="374F7BF4"/>
    <w:rsid w:val="378B28AA"/>
    <w:rsid w:val="379C5DDF"/>
    <w:rsid w:val="389B107E"/>
    <w:rsid w:val="38FA2AF1"/>
    <w:rsid w:val="392253BF"/>
    <w:rsid w:val="39E0260D"/>
    <w:rsid w:val="3A4006ED"/>
    <w:rsid w:val="3A724103"/>
    <w:rsid w:val="3B1643FE"/>
    <w:rsid w:val="3B1A5EDC"/>
    <w:rsid w:val="3B601728"/>
    <w:rsid w:val="3B631EDC"/>
    <w:rsid w:val="3B740455"/>
    <w:rsid w:val="3C0C44E6"/>
    <w:rsid w:val="3CD80D1E"/>
    <w:rsid w:val="3D2C1D81"/>
    <w:rsid w:val="3D583BFE"/>
    <w:rsid w:val="3D59314B"/>
    <w:rsid w:val="3D872826"/>
    <w:rsid w:val="3D8D1D02"/>
    <w:rsid w:val="3DB52385"/>
    <w:rsid w:val="3DED283A"/>
    <w:rsid w:val="3EB113C6"/>
    <w:rsid w:val="3ED538B6"/>
    <w:rsid w:val="3EDF1E43"/>
    <w:rsid w:val="3EF37285"/>
    <w:rsid w:val="3F2034D1"/>
    <w:rsid w:val="3F4342B0"/>
    <w:rsid w:val="3FCA2109"/>
    <w:rsid w:val="3FDC36DB"/>
    <w:rsid w:val="401D3EDB"/>
    <w:rsid w:val="404A714F"/>
    <w:rsid w:val="4177236C"/>
    <w:rsid w:val="41B61826"/>
    <w:rsid w:val="41B95BA9"/>
    <w:rsid w:val="41BA0B83"/>
    <w:rsid w:val="425705FC"/>
    <w:rsid w:val="427D0736"/>
    <w:rsid w:val="429D077F"/>
    <w:rsid w:val="42CE7875"/>
    <w:rsid w:val="435159D7"/>
    <w:rsid w:val="43894CDA"/>
    <w:rsid w:val="43BA2314"/>
    <w:rsid w:val="43EB2316"/>
    <w:rsid w:val="445832A0"/>
    <w:rsid w:val="446B7E51"/>
    <w:rsid w:val="44B777D8"/>
    <w:rsid w:val="453B5715"/>
    <w:rsid w:val="458A171D"/>
    <w:rsid w:val="458E6424"/>
    <w:rsid w:val="45B635E0"/>
    <w:rsid w:val="45C23165"/>
    <w:rsid w:val="45FE02F5"/>
    <w:rsid w:val="46083ED3"/>
    <w:rsid w:val="47076475"/>
    <w:rsid w:val="47601B3B"/>
    <w:rsid w:val="47710152"/>
    <w:rsid w:val="47A34BB4"/>
    <w:rsid w:val="47AE57BB"/>
    <w:rsid w:val="47BC5DA2"/>
    <w:rsid w:val="4814260A"/>
    <w:rsid w:val="48B5127C"/>
    <w:rsid w:val="491B75C5"/>
    <w:rsid w:val="49294DA3"/>
    <w:rsid w:val="492D034C"/>
    <w:rsid w:val="4A075FCF"/>
    <w:rsid w:val="4A3B2F62"/>
    <w:rsid w:val="4A836419"/>
    <w:rsid w:val="4B1464A5"/>
    <w:rsid w:val="4B293E17"/>
    <w:rsid w:val="4B936965"/>
    <w:rsid w:val="4BC5020C"/>
    <w:rsid w:val="4C147C37"/>
    <w:rsid w:val="4C7C2B81"/>
    <w:rsid w:val="4C8017FC"/>
    <w:rsid w:val="4C9B6F23"/>
    <w:rsid w:val="4D502AD2"/>
    <w:rsid w:val="4DB25064"/>
    <w:rsid w:val="4DC86E54"/>
    <w:rsid w:val="4E0A2C69"/>
    <w:rsid w:val="4E677C88"/>
    <w:rsid w:val="4E993608"/>
    <w:rsid w:val="4F7A4A60"/>
    <w:rsid w:val="4F815011"/>
    <w:rsid w:val="4FE66E66"/>
    <w:rsid w:val="4FF83E55"/>
    <w:rsid w:val="50414B99"/>
    <w:rsid w:val="506C1F2E"/>
    <w:rsid w:val="508E5879"/>
    <w:rsid w:val="508F7CCE"/>
    <w:rsid w:val="50A748DC"/>
    <w:rsid w:val="5152745B"/>
    <w:rsid w:val="51D77E86"/>
    <w:rsid w:val="51F96E1E"/>
    <w:rsid w:val="51FC17BE"/>
    <w:rsid w:val="522D3623"/>
    <w:rsid w:val="523A3EA9"/>
    <w:rsid w:val="52631EDE"/>
    <w:rsid w:val="52895F09"/>
    <w:rsid w:val="533D00F5"/>
    <w:rsid w:val="534012A2"/>
    <w:rsid w:val="5353378C"/>
    <w:rsid w:val="53895B01"/>
    <w:rsid w:val="53F1717E"/>
    <w:rsid w:val="53FA57AC"/>
    <w:rsid w:val="54285FA3"/>
    <w:rsid w:val="5515510B"/>
    <w:rsid w:val="5590425C"/>
    <w:rsid w:val="55BD2117"/>
    <w:rsid w:val="55C404B3"/>
    <w:rsid w:val="55DF57E7"/>
    <w:rsid w:val="56135788"/>
    <w:rsid w:val="56971178"/>
    <w:rsid w:val="56F3591C"/>
    <w:rsid w:val="57601FD3"/>
    <w:rsid w:val="581460C7"/>
    <w:rsid w:val="58673E4C"/>
    <w:rsid w:val="58DB6E18"/>
    <w:rsid w:val="590F7B4B"/>
    <w:rsid w:val="59160A85"/>
    <w:rsid w:val="59246FD6"/>
    <w:rsid w:val="59B85A4F"/>
    <w:rsid w:val="5BA53BDC"/>
    <w:rsid w:val="5BC33B12"/>
    <w:rsid w:val="5C8920FC"/>
    <w:rsid w:val="5C91702C"/>
    <w:rsid w:val="5D0D49A4"/>
    <w:rsid w:val="5D1C2F78"/>
    <w:rsid w:val="5D8B2553"/>
    <w:rsid w:val="5D9500C8"/>
    <w:rsid w:val="5E8A49FE"/>
    <w:rsid w:val="5EA5107D"/>
    <w:rsid w:val="5EB36C9A"/>
    <w:rsid w:val="5EEF3970"/>
    <w:rsid w:val="5F0A22DD"/>
    <w:rsid w:val="5F267691"/>
    <w:rsid w:val="5F2F70FE"/>
    <w:rsid w:val="5F6746CD"/>
    <w:rsid w:val="5F734173"/>
    <w:rsid w:val="5F9E49AD"/>
    <w:rsid w:val="5FE925E5"/>
    <w:rsid w:val="5FF0681A"/>
    <w:rsid w:val="603152C4"/>
    <w:rsid w:val="60C848B8"/>
    <w:rsid w:val="614E273A"/>
    <w:rsid w:val="61EB12D5"/>
    <w:rsid w:val="62185580"/>
    <w:rsid w:val="62517895"/>
    <w:rsid w:val="627C5FFC"/>
    <w:rsid w:val="62975B90"/>
    <w:rsid w:val="62D17C8F"/>
    <w:rsid w:val="630A1CF5"/>
    <w:rsid w:val="63252295"/>
    <w:rsid w:val="63A67419"/>
    <w:rsid w:val="63AA2AD1"/>
    <w:rsid w:val="643A5025"/>
    <w:rsid w:val="64B614B7"/>
    <w:rsid w:val="64CA3E29"/>
    <w:rsid w:val="6515755F"/>
    <w:rsid w:val="654B399C"/>
    <w:rsid w:val="656C0D28"/>
    <w:rsid w:val="65EA7F5F"/>
    <w:rsid w:val="66083824"/>
    <w:rsid w:val="66113C5A"/>
    <w:rsid w:val="662144E0"/>
    <w:rsid w:val="662B7A7D"/>
    <w:rsid w:val="671D76E9"/>
    <w:rsid w:val="67803651"/>
    <w:rsid w:val="678503BF"/>
    <w:rsid w:val="67853EF6"/>
    <w:rsid w:val="67E9775B"/>
    <w:rsid w:val="68007C5D"/>
    <w:rsid w:val="6837086C"/>
    <w:rsid w:val="68382926"/>
    <w:rsid w:val="684B4EEB"/>
    <w:rsid w:val="69064135"/>
    <w:rsid w:val="692D613E"/>
    <w:rsid w:val="69A1113B"/>
    <w:rsid w:val="69E93034"/>
    <w:rsid w:val="6A63748C"/>
    <w:rsid w:val="6C7F2B40"/>
    <w:rsid w:val="6C8B2730"/>
    <w:rsid w:val="6D0737EE"/>
    <w:rsid w:val="6D4D25CA"/>
    <w:rsid w:val="6D6B406E"/>
    <w:rsid w:val="6D8B3862"/>
    <w:rsid w:val="6DE643B4"/>
    <w:rsid w:val="6EB74669"/>
    <w:rsid w:val="6EBA6175"/>
    <w:rsid w:val="6ED56BE2"/>
    <w:rsid w:val="6ED94826"/>
    <w:rsid w:val="6EED7994"/>
    <w:rsid w:val="6F310D29"/>
    <w:rsid w:val="6FA72428"/>
    <w:rsid w:val="6FB50B42"/>
    <w:rsid w:val="6FB50B94"/>
    <w:rsid w:val="70284B86"/>
    <w:rsid w:val="710C4723"/>
    <w:rsid w:val="714A71C3"/>
    <w:rsid w:val="72732752"/>
    <w:rsid w:val="73623D79"/>
    <w:rsid w:val="73873169"/>
    <w:rsid w:val="73CE19C8"/>
    <w:rsid w:val="73F4796B"/>
    <w:rsid w:val="73F922A3"/>
    <w:rsid w:val="74B02171"/>
    <w:rsid w:val="75403E42"/>
    <w:rsid w:val="7561286A"/>
    <w:rsid w:val="757D77BD"/>
    <w:rsid w:val="75961A3C"/>
    <w:rsid w:val="75C31E76"/>
    <w:rsid w:val="7691342F"/>
    <w:rsid w:val="76A2099B"/>
    <w:rsid w:val="76E92226"/>
    <w:rsid w:val="77531430"/>
    <w:rsid w:val="77A33839"/>
    <w:rsid w:val="77D54F75"/>
    <w:rsid w:val="78971B0D"/>
    <w:rsid w:val="793547FC"/>
    <w:rsid w:val="795C78D0"/>
    <w:rsid w:val="79B02FE2"/>
    <w:rsid w:val="79BB4CC5"/>
    <w:rsid w:val="79E30119"/>
    <w:rsid w:val="79ED0BEC"/>
    <w:rsid w:val="7A6E4D94"/>
    <w:rsid w:val="7AEC3118"/>
    <w:rsid w:val="7B3E7733"/>
    <w:rsid w:val="7B794292"/>
    <w:rsid w:val="7BE06C6B"/>
    <w:rsid w:val="7BFB6491"/>
    <w:rsid w:val="7C385711"/>
    <w:rsid w:val="7D38402A"/>
    <w:rsid w:val="7D8F600D"/>
    <w:rsid w:val="7DB04A2B"/>
    <w:rsid w:val="7DF66153"/>
    <w:rsid w:val="7E2645D0"/>
    <w:rsid w:val="7EC35C4B"/>
    <w:rsid w:val="7EC556B4"/>
    <w:rsid w:val="7EE15E3B"/>
    <w:rsid w:val="7F1D465C"/>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zh-CN" w:bidi="ar-SA"/>
    </w:rPr>
  </w:style>
  <w:style w:type="paragraph" w:styleId="2">
    <w:name w:val="heading 1"/>
    <w:basedOn w:val="1"/>
    <w:next w:val="1"/>
    <w:link w:val="23"/>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3"/>
    <w:qFormat/>
    <w:uiPriority w:val="0"/>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4">
    <w:name w:val="heading 3"/>
    <w:basedOn w:val="1"/>
    <w:next w:val="1"/>
    <w:link w:val="39"/>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4"/>
    <w:qFormat/>
    <w:uiPriority w:val="0"/>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6">
    <w:name w:val="heading 5"/>
    <w:basedOn w:val="1"/>
    <w:next w:val="1"/>
    <w:link w:val="55"/>
    <w:qFormat/>
    <w:uiPriority w:val="0"/>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17">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7">
    <w:name w:val="annotation subject"/>
    <w:basedOn w:val="8"/>
    <w:next w:val="8"/>
    <w:link w:val="27"/>
    <w:unhideWhenUsed/>
    <w:qFormat/>
    <w:uiPriority w:val="0"/>
    <w:rPr>
      <w:b/>
      <w:bCs/>
    </w:rPr>
  </w:style>
  <w:style w:type="paragraph" w:styleId="8">
    <w:name w:val="annotation text"/>
    <w:basedOn w:val="1"/>
    <w:link w:val="26"/>
    <w:unhideWhenUsed/>
    <w:qFormat/>
    <w:uiPriority w:val="0"/>
    <w:rPr>
      <w:sz w:val="20"/>
      <w:szCs w:val="20"/>
    </w:rPr>
  </w:style>
  <w:style w:type="paragraph" w:styleId="9">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0">
    <w:name w:val="caption"/>
    <w:basedOn w:val="1"/>
    <w:next w:val="1"/>
    <w:link w:val="31"/>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1">
    <w:name w:val="Document Map"/>
    <w:basedOn w:val="1"/>
    <w:link w:val="29"/>
    <w:unhideWhenUsed/>
    <w:qFormat/>
    <w:uiPriority w:val="0"/>
    <w:rPr>
      <w:rFonts w:ascii="宋体"/>
      <w:sz w:val="18"/>
      <w:szCs w:val="18"/>
    </w:rPr>
  </w:style>
  <w:style w:type="paragraph" w:styleId="12">
    <w:name w:val="Body Text"/>
    <w:basedOn w:val="1"/>
    <w:link w:val="30"/>
    <w:qFormat/>
    <w:uiPriority w:val="0"/>
    <w:pPr>
      <w:widowControl w:val="0"/>
      <w:spacing w:after="0" w:line="240" w:lineRule="auto"/>
      <w:jc w:val="both"/>
    </w:pPr>
    <w:rPr>
      <w:rFonts w:ascii="Times New Roman" w:hAnsi="Times New Roman"/>
      <w:color w:val="0000FF"/>
      <w:kern w:val="2"/>
      <w:sz w:val="21"/>
      <w:szCs w:val="20"/>
    </w:rPr>
  </w:style>
  <w:style w:type="paragraph" w:styleId="13">
    <w:name w:val="Balloon Text"/>
    <w:basedOn w:val="1"/>
    <w:link w:val="28"/>
    <w:unhideWhenUsed/>
    <w:qFormat/>
    <w:uiPriority w:val="0"/>
    <w:pPr>
      <w:spacing w:after="0" w:line="240" w:lineRule="auto"/>
    </w:pPr>
    <w:rPr>
      <w:rFonts w:ascii="Tahoma" w:hAnsi="Tahoma"/>
      <w:sz w:val="16"/>
      <w:szCs w:val="16"/>
    </w:rPr>
  </w:style>
  <w:style w:type="paragraph" w:styleId="14">
    <w:name w:val="footer"/>
    <w:basedOn w:val="1"/>
    <w:link w:val="76"/>
    <w:qFormat/>
    <w:uiPriority w:val="0"/>
    <w:pPr>
      <w:tabs>
        <w:tab w:val="center" w:pos="4153"/>
        <w:tab w:val="right" w:pos="8306"/>
      </w:tabs>
      <w:snapToGrid w:val="0"/>
      <w:spacing w:line="240" w:lineRule="auto"/>
    </w:pPr>
    <w:rPr>
      <w:sz w:val="18"/>
      <w:szCs w:val="18"/>
    </w:rPr>
  </w:style>
  <w:style w:type="paragraph" w:styleId="15">
    <w:name w:val="header"/>
    <w:basedOn w:val="1"/>
    <w:link w:val="24"/>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16">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8">
    <w:name w:val="Hyperlink"/>
    <w:basedOn w:val="17"/>
    <w:unhideWhenUsed/>
    <w:qFormat/>
    <w:uiPriority w:val="99"/>
    <w:rPr>
      <w:color w:val="0000FF"/>
      <w:u w:val="single"/>
    </w:rPr>
  </w:style>
  <w:style w:type="character" w:styleId="19">
    <w:name w:val="annotation reference"/>
    <w:unhideWhenUsed/>
    <w:qFormat/>
    <w:uiPriority w:val="0"/>
    <w:rPr>
      <w:sz w:val="16"/>
      <w:szCs w:val="16"/>
    </w:rPr>
  </w:style>
  <w:style w:type="character" w:styleId="20">
    <w:name w:val="footnote reference"/>
    <w:semiHidden/>
    <w:qFormat/>
    <w:uiPriority w:val="0"/>
    <w:rPr>
      <w:b/>
      <w:position w:val="6"/>
      <w:sz w:val="16"/>
    </w:rPr>
  </w:style>
  <w:style w:type="table" w:styleId="22">
    <w:name w:val="Table Grid"/>
    <w:basedOn w:val="21"/>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3">
    <w:name w:val="标题 1 Char"/>
    <w:link w:val="2"/>
    <w:qFormat/>
    <w:uiPriority w:val="99"/>
    <w:rPr>
      <w:rFonts w:ascii="Arial" w:hAnsi="Arial" w:eastAsia="黑体"/>
      <w:b/>
      <w:bCs/>
      <w:sz w:val="30"/>
      <w:szCs w:val="30"/>
      <w:lang w:val="zh-CN"/>
    </w:rPr>
  </w:style>
  <w:style w:type="character" w:customStyle="1" w:styleId="24">
    <w:name w:val="页眉 Char"/>
    <w:link w:val="15"/>
    <w:qFormat/>
    <w:uiPriority w:val="0"/>
    <w:rPr>
      <w:rFonts w:ascii="Arial" w:hAnsi="Arial" w:eastAsia="MS Mincho"/>
      <w:b/>
      <w:szCs w:val="24"/>
      <w:lang w:eastAsia="en-US"/>
    </w:rPr>
  </w:style>
  <w:style w:type="paragraph" w:customStyle="1" w:styleId="25">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6">
    <w:name w:val="批注文字 Char"/>
    <w:basedOn w:val="17"/>
    <w:link w:val="8"/>
    <w:qFormat/>
    <w:uiPriority w:val="0"/>
  </w:style>
  <w:style w:type="character" w:customStyle="1" w:styleId="27">
    <w:name w:val="批注主题 Char"/>
    <w:link w:val="7"/>
    <w:qFormat/>
    <w:uiPriority w:val="0"/>
    <w:rPr>
      <w:b/>
      <w:bCs/>
    </w:rPr>
  </w:style>
  <w:style w:type="character" w:customStyle="1" w:styleId="28">
    <w:name w:val="批注框文本 Char"/>
    <w:link w:val="13"/>
    <w:qFormat/>
    <w:uiPriority w:val="0"/>
    <w:rPr>
      <w:rFonts w:ascii="Tahoma" w:hAnsi="Tahoma" w:cs="Tahoma"/>
      <w:sz w:val="16"/>
      <w:szCs w:val="16"/>
    </w:rPr>
  </w:style>
  <w:style w:type="character" w:customStyle="1" w:styleId="29">
    <w:name w:val="文档结构图 Char"/>
    <w:link w:val="11"/>
    <w:qFormat/>
    <w:uiPriority w:val="0"/>
    <w:rPr>
      <w:rFonts w:ascii="宋体"/>
      <w:sz w:val="18"/>
      <w:szCs w:val="18"/>
    </w:rPr>
  </w:style>
  <w:style w:type="character" w:customStyle="1" w:styleId="30">
    <w:name w:val="正文文本 Char"/>
    <w:link w:val="12"/>
    <w:qFormat/>
    <w:uiPriority w:val="0"/>
    <w:rPr>
      <w:rFonts w:ascii="Times New Roman" w:hAnsi="Times New Roman"/>
      <w:color w:val="0000FF"/>
      <w:kern w:val="2"/>
      <w:sz w:val="21"/>
    </w:rPr>
  </w:style>
  <w:style w:type="character" w:customStyle="1" w:styleId="31">
    <w:name w:val="题注 Char"/>
    <w:link w:val="10"/>
    <w:qFormat/>
    <w:uiPriority w:val="0"/>
    <w:rPr>
      <w:rFonts w:ascii="Times New Roman" w:hAnsi="Times New Roman"/>
      <w:b/>
      <w:bCs/>
      <w:lang w:val="en-GB" w:eastAsia="sv-SE"/>
    </w:rPr>
  </w:style>
  <w:style w:type="paragraph" w:customStyle="1" w:styleId="32">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33">
    <w:name w:val="TAH"/>
    <w:basedOn w:val="34"/>
    <w:qFormat/>
    <w:uiPriority w:val="0"/>
    <w:rPr>
      <w:b/>
    </w:rPr>
  </w:style>
  <w:style w:type="paragraph" w:customStyle="1" w:styleId="34">
    <w:name w:val="TAC"/>
    <w:basedOn w:val="1"/>
    <w:link w:val="35"/>
    <w:qFormat/>
    <w:uiPriority w:val="0"/>
    <w:pPr>
      <w:keepNext/>
      <w:keepLines/>
      <w:overflowPunct w:val="0"/>
      <w:autoSpaceDE w:val="0"/>
      <w:autoSpaceDN w:val="0"/>
      <w:adjustRightInd w:val="0"/>
      <w:spacing w:after="0" w:line="240" w:lineRule="auto"/>
      <w:jc w:val="center"/>
      <w:textAlignment w:val="baseline"/>
    </w:pPr>
    <w:rPr>
      <w:rFonts w:ascii="Arial" w:hAnsi="Arial" w:eastAsia="Times New Roman"/>
      <w:sz w:val="18"/>
      <w:szCs w:val="20"/>
      <w:lang w:val="en-GB" w:eastAsia="en-GB"/>
    </w:rPr>
  </w:style>
  <w:style w:type="character" w:customStyle="1" w:styleId="35">
    <w:name w:val="TAC Char"/>
    <w:link w:val="34"/>
    <w:qFormat/>
    <w:uiPriority w:val="0"/>
    <w:rPr>
      <w:rFonts w:ascii="Arial" w:hAnsi="Arial" w:eastAsia="Times New Roman"/>
      <w:sz w:val="18"/>
      <w:lang w:val="en-GB" w:eastAsia="en-GB"/>
    </w:rPr>
  </w:style>
  <w:style w:type="paragraph" w:customStyle="1" w:styleId="36">
    <w:name w:val="无间隔1"/>
    <w:qFormat/>
    <w:uiPriority w:val="1"/>
    <w:rPr>
      <w:rFonts w:ascii="Calibri" w:hAnsi="Calibri" w:eastAsia="宋体" w:cs="Times New Roman"/>
      <w:sz w:val="22"/>
      <w:szCs w:val="22"/>
      <w:lang w:val="en-US" w:eastAsia="zh-CN" w:bidi="ar-SA"/>
    </w:rPr>
  </w:style>
  <w:style w:type="character" w:customStyle="1" w:styleId="37">
    <w:name w:val="word"/>
    <w:basedOn w:val="17"/>
    <w:qFormat/>
    <w:uiPriority w:val="0"/>
  </w:style>
  <w:style w:type="paragraph" w:customStyle="1" w:styleId="38">
    <w:name w:val="列出段落1"/>
    <w:basedOn w:val="1"/>
    <w:qFormat/>
    <w:uiPriority w:val="99"/>
    <w:pPr>
      <w:widowControl w:val="0"/>
      <w:spacing w:after="0" w:line="240" w:lineRule="auto"/>
      <w:ind w:firstLine="420" w:firstLineChars="200"/>
      <w:jc w:val="both"/>
    </w:pPr>
    <w:rPr>
      <w:kern w:val="2"/>
      <w:sz w:val="21"/>
    </w:rPr>
  </w:style>
  <w:style w:type="character" w:customStyle="1" w:styleId="39">
    <w:name w:val="标题 3 Char"/>
    <w:link w:val="4"/>
    <w:qFormat/>
    <w:uiPriority w:val="0"/>
    <w:rPr>
      <w:b/>
      <w:bCs/>
      <w:sz w:val="32"/>
      <w:szCs w:val="32"/>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41">
    <w:name w:val="List Paragraph1"/>
    <w:basedOn w:val="1"/>
    <w:qFormat/>
    <w:uiPriority w:val="34"/>
    <w:pPr>
      <w:widowControl w:val="0"/>
      <w:spacing w:after="0" w:line="240" w:lineRule="auto"/>
      <w:ind w:firstLine="420" w:firstLineChars="200"/>
      <w:jc w:val="both"/>
    </w:pPr>
    <w:rPr>
      <w:kern w:val="2"/>
      <w:sz w:val="21"/>
    </w:rPr>
  </w:style>
  <w:style w:type="paragraph" w:customStyle="1" w:styleId="42">
    <w:name w:val="TAL"/>
    <w:basedOn w:val="1"/>
    <w:qFormat/>
    <w:uiPriority w:val="0"/>
    <w:pPr>
      <w:keepNext/>
      <w:keepLines/>
      <w:spacing w:after="0" w:line="240" w:lineRule="auto"/>
    </w:pPr>
    <w:rPr>
      <w:rFonts w:ascii="Arial" w:hAnsi="Arial"/>
      <w:sz w:val="18"/>
      <w:szCs w:val="20"/>
      <w:lang w:val="en-GB" w:eastAsia="en-US"/>
    </w:rPr>
  </w:style>
  <w:style w:type="paragraph" w:customStyle="1" w:styleId="43">
    <w:name w:val="TH"/>
    <w:basedOn w:val="1"/>
    <w:link w:val="44"/>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H Char"/>
    <w:link w:val="43"/>
    <w:qFormat/>
    <w:uiPriority w:val="0"/>
    <w:rPr>
      <w:rFonts w:ascii="Arial" w:hAnsi="Arial"/>
      <w:b/>
      <w:lang w:val="en-GB" w:eastAsia="en-US"/>
    </w:rPr>
  </w:style>
  <w:style w:type="paragraph" w:customStyle="1" w:styleId="45">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6">
    <w:name w:val="Normal with indent"/>
    <w:basedOn w:val="1"/>
    <w:link w:val="47"/>
    <w:qFormat/>
    <w:uiPriority w:val="0"/>
    <w:pPr>
      <w:spacing w:before="120" w:after="120" w:line="336" w:lineRule="auto"/>
      <w:ind w:firstLine="397"/>
      <w:jc w:val="both"/>
    </w:pPr>
    <w:rPr>
      <w:rFonts w:ascii="Times New Roman" w:hAnsi="Times New Roman" w:eastAsia="Malgun Gothic"/>
      <w:sz w:val="20"/>
      <w:szCs w:val="20"/>
      <w:lang w:val="en-GB" w:eastAsia="ko-KR"/>
    </w:rPr>
  </w:style>
  <w:style w:type="character" w:customStyle="1" w:styleId="47">
    <w:name w:val="Normal with indent Char"/>
    <w:link w:val="46"/>
    <w:qFormat/>
    <w:uiPriority w:val="0"/>
    <w:rPr>
      <w:rFonts w:ascii="Times New Roman" w:hAnsi="Times New Roman" w:eastAsia="Malgun Gothic"/>
      <w:lang w:val="en-GB" w:eastAsia="ko-KR"/>
    </w:rPr>
  </w:style>
  <w:style w:type="paragraph" w:customStyle="1" w:styleId="48">
    <w:name w:val="LGTdoc_제목1"/>
    <w:basedOn w:val="1"/>
    <w:qFormat/>
    <w:uiPriority w:val="0"/>
    <w:pPr>
      <w:adjustRightInd w:val="0"/>
      <w:snapToGrid w:val="0"/>
      <w:spacing w:beforeLines="50" w:after="100" w:afterAutospacing="1" w:line="240" w:lineRule="auto"/>
      <w:jc w:val="both"/>
    </w:pPr>
    <w:rPr>
      <w:rFonts w:ascii="Times New Roman" w:hAnsi="Times New Roman" w:eastAsia="Batang"/>
      <w:b/>
      <w:snapToGrid w:val="0"/>
      <w:sz w:val="28"/>
      <w:szCs w:val="20"/>
      <w:lang w:val="en-GB" w:eastAsia="ko-KR"/>
    </w:rPr>
  </w:style>
  <w:style w:type="paragraph" w:customStyle="1" w:styleId="49">
    <w:name w:val="PaperTableCell"/>
    <w:basedOn w:val="1"/>
    <w:qFormat/>
    <w:uiPriority w:val="0"/>
    <w:pPr>
      <w:spacing w:after="0" w:line="240" w:lineRule="auto"/>
      <w:jc w:val="both"/>
    </w:pPr>
    <w:rPr>
      <w:rFonts w:ascii="Times New Roman" w:hAnsi="Times New Roman" w:eastAsia="Times New Roman"/>
      <w:sz w:val="16"/>
      <w:szCs w:val="24"/>
      <w:lang w:eastAsia="en-US"/>
    </w:rPr>
  </w:style>
  <w:style w:type="character" w:customStyle="1" w:styleId="50">
    <w:name w:val="apple-style-span"/>
    <w:basedOn w:val="17"/>
    <w:qFormat/>
    <w:uiPriority w:val="0"/>
  </w:style>
  <w:style w:type="character" w:customStyle="1" w:styleId="51">
    <w:name w:val="apple-converted-space"/>
    <w:basedOn w:val="17"/>
    <w:qFormat/>
    <w:uiPriority w:val="0"/>
  </w:style>
  <w:style w:type="character" w:customStyle="1" w:styleId="52">
    <w:name w:val="high-light"/>
    <w:basedOn w:val="17"/>
    <w:qFormat/>
    <w:uiPriority w:val="0"/>
  </w:style>
  <w:style w:type="character" w:customStyle="1" w:styleId="53">
    <w:name w:val="标题 2 Char"/>
    <w:basedOn w:val="17"/>
    <w:link w:val="3"/>
    <w:qFormat/>
    <w:uiPriority w:val="0"/>
    <w:rPr>
      <w:rFonts w:ascii="Times New Roman" w:hAnsi="Times New Roman"/>
      <w:i/>
      <w:iCs/>
      <w:lang w:eastAsia="en-US"/>
    </w:rPr>
  </w:style>
  <w:style w:type="character" w:customStyle="1" w:styleId="54">
    <w:name w:val="标题 4 Char"/>
    <w:basedOn w:val="17"/>
    <w:link w:val="5"/>
    <w:qFormat/>
    <w:uiPriority w:val="0"/>
    <w:rPr>
      <w:rFonts w:ascii="Times New Roman" w:hAnsi="Times New Roman"/>
      <w:i/>
      <w:iCs/>
      <w:lang w:eastAsia="en-US"/>
    </w:rPr>
  </w:style>
  <w:style w:type="character" w:customStyle="1" w:styleId="55">
    <w:name w:val="标题 5 Char"/>
    <w:basedOn w:val="17"/>
    <w:link w:val="6"/>
    <w:qFormat/>
    <w:uiPriority w:val="0"/>
    <w:rPr>
      <w:rFonts w:ascii="Times New Roman" w:hAnsi="Times New Roman"/>
      <w:smallCaps/>
      <w:lang w:eastAsia="en-US"/>
    </w:rPr>
  </w:style>
  <w:style w:type="paragraph" w:customStyle="1" w:styleId="56">
    <w:name w:val="Abstract"/>
    <w:link w:val="74"/>
    <w:qFormat/>
    <w:uiPriority w:val="0"/>
    <w:pPr>
      <w:spacing w:after="200"/>
      <w:jc w:val="both"/>
    </w:pPr>
    <w:rPr>
      <w:rFonts w:ascii="Times New Roman" w:hAnsi="Times New Roman" w:eastAsia="宋体" w:cs="Times New Roman"/>
      <w:b/>
      <w:bCs/>
      <w:sz w:val="18"/>
      <w:szCs w:val="18"/>
      <w:lang w:val="en-US" w:eastAsia="en-US" w:bidi="ar-SA"/>
    </w:rPr>
  </w:style>
  <w:style w:type="paragraph" w:customStyle="1" w:styleId="57">
    <w:name w:val="Affiliation"/>
    <w:qFormat/>
    <w:uiPriority w:val="99"/>
    <w:pPr>
      <w:jc w:val="center"/>
    </w:pPr>
    <w:rPr>
      <w:rFonts w:ascii="Times New Roman" w:hAnsi="Times New Roman" w:eastAsia="宋体" w:cs="Times New Roman"/>
      <w:lang w:val="en-US" w:eastAsia="en-US" w:bidi="ar-SA"/>
    </w:rPr>
  </w:style>
  <w:style w:type="paragraph" w:customStyle="1" w:styleId="58">
    <w:name w:val="Author"/>
    <w:qFormat/>
    <w:uiPriority w:val="99"/>
    <w:pPr>
      <w:spacing w:before="360" w:after="40"/>
      <w:jc w:val="center"/>
    </w:pPr>
    <w:rPr>
      <w:rFonts w:ascii="Times New Roman" w:hAnsi="Times New Roman" w:eastAsia="宋体" w:cs="Times New Roman"/>
      <w:sz w:val="22"/>
      <w:szCs w:val="22"/>
      <w:lang w:val="en-US" w:eastAsia="en-US" w:bidi="ar-SA"/>
    </w:rPr>
  </w:style>
  <w:style w:type="paragraph" w:customStyle="1" w:styleId="59">
    <w:name w:val="bullet list"/>
    <w:basedOn w:val="12"/>
    <w:qFormat/>
    <w:uiPriority w:val="0"/>
    <w:pPr>
      <w:widowControl/>
      <w:numPr>
        <w:ilvl w:val="0"/>
        <w:numId w:val="2"/>
      </w:numPr>
      <w:spacing w:after="120" w:line="228" w:lineRule="auto"/>
    </w:pPr>
    <w:rPr>
      <w:color w:val="auto"/>
      <w:spacing w:val="-1"/>
      <w:kern w:val="0"/>
      <w:sz w:val="20"/>
      <w:lang w:eastAsia="en-US"/>
    </w:rPr>
  </w:style>
  <w:style w:type="paragraph" w:customStyle="1" w:styleId="60">
    <w:name w:val="equation"/>
    <w:basedOn w:val="1"/>
    <w:qFormat/>
    <w:uiPriority w:val="0"/>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61">
    <w:name w:val="figure caption"/>
    <w:qFormat/>
    <w:uiPriority w:val="0"/>
    <w:pPr>
      <w:numPr>
        <w:ilvl w:val="0"/>
        <w:numId w:val="3"/>
      </w:numPr>
      <w:spacing w:before="80" w:after="200"/>
      <w:jc w:val="center"/>
    </w:pPr>
    <w:rPr>
      <w:rFonts w:ascii="Times New Roman" w:hAnsi="Times New Roman" w:eastAsia="宋体" w:cs="Times New Roman"/>
      <w:sz w:val="16"/>
      <w:szCs w:val="16"/>
      <w:lang w:val="en-US" w:eastAsia="en-US" w:bidi="ar-SA"/>
    </w:rPr>
  </w:style>
  <w:style w:type="paragraph" w:customStyle="1" w:styleId="62">
    <w:name w:val="footnote"/>
    <w:qFormat/>
    <w:uiPriority w:val="99"/>
    <w:pPr>
      <w:framePr w:hSpace="187" w:vSpace="187" w:wrap="notBeside" w:vAnchor="text" w:hAnchor="page" w:x="6121" w:y="577"/>
      <w:numPr>
        <w:ilvl w:val="0"/>
        <w:numId w:val="4"/>
      </w:numPr>
      <w:spacing w:after="40"/>
    </w:pPr>
    <w:rPr>
      <w:rFonts w:ascii="Times New Roman" w:hAnsi="Times New Roman" w:eastAsia="宋体" w:cs="Times New Roman"/>
      <w:sz w:val="16"/>
      <w:szCs w:val="16"/>
      <w:lang w:val="en-US" w:eastAsia="en-US" w:bidi="ar-SA"/>
    </w:rPr>
  </w:style>
  <w:style w:type="paragraph" w:customStyle="1" w:styleId="63">
    <w:name w:val="key words"/>
    <w:qFormat/>
    <w:uiPriority w:val="0"/>
    <w:pPr>
      <w:spacing w:after="120"/>
      <w:ind w:firstLine="288"/>
      <w:jc w:val="both"/>
    </w:pPr>
    <w:rPr>
      <w:rFonts w:ascii="Times New Roman" w:hAnsi="Times New Roman" w:eastAsia="宋体" w:cs="Times New Roman"/>
      <w:b/>
      <w:bCs/>
      <w:i/>
      <w:iCs/>
      <w:sz w:val="18"/>
      <w:szCs w:val="18"/>
      <w:lang w:val="en-US" w:eastAsia="en-US" w:bidi="ar-SA"/>
    </w:rPr>
  </w:style>
  <w:style w:type="paragraph" w:customStyle="1" w:styleId="64">
    <w:name w:val="paper subtitle"/>
    <w:qFormat/>
    <w:uiPriority w:val="0"/>
    <w:pPr>
      <w:spacing w:after="120"/>
      <w:jc w:val="center"/>
    </w:pPr>
    <w:rPr>
      <w:rFonts w:ascii="Times New Roman" w:hAnsi="Times New Roman" w:eastAsia="MS Mincho" w:cs="Times New Roman"/>
      <w:sz w:val="28"/>
      <w:szCs w:val="28"/>
      <w:lang w:val="en-US" w:eastAsia="en-US" w:bidi="ar-SA"/>
    </w:rPr>
  </w:style>
  <w:style w:type="paragraph" w:customStyle="1" w:styleId="65">
    <w:name w:val="paper title"/>
    <w:qFormat/>
    <w:uiPriority w:val="0"/>
    <w:pPr>
      <w:spacing w:after="120"/>
      <w:jc w:val="center"/>
    </w:pPr>
    <w:rPr>
      <w:rFonts w:ascii="Times New Roman" w:hAnsi="Times New Roman" w:eastAsia="MS Mincho" w:cs="Times New Roman"/>
      <w:sz w:val="48"/>
      <w:szCs w:val="48"/>
      <w:lang w:val="en-US" w:eastAsia="en-US" w:bidi="ar-SA"/>
    </w:rPr>
  </w:style>
  <w:style w:type="paragraph" w:customStyle="1" w:styleId="66">
    <w:name w:val="references"/>
    <w:qFormat/>
    <w:uiPriority w:val="0"/>
    <w:pPr>
      <w:numPr>
        <w:ilvl w:val="0"/>
        <w:numId w:val="5"/>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67">
    <w:name w:val="sponsors"/>
    <w:qFormat/>
    <w:uiPriority w:val="0"/>
    <w:pPr>
      <w:framePr w:wrap="around" w:vAnchor="margin" w:hAnchor="text" w:x="615" w:y="2239"/>
      <w:pBdr>
        <w:top w:val="single" w:color="auto" w:sz="4" w:space="2"/>
      </w:pBdr>
      <w:ind w:firstLine="288"/>
    </w:pPr>
    <w:rPr>
      <w:rFonts w:ascii="Times New Roman" w:hAnsi="Times New Roman" w:eastAsia="宋体" w:cs="Times New Roman"/>
      <w:sz w:val="16"/>
      <w:szCs w:val="16"/>
      <w:lang w:val="en-US" w:eastAsia="en-US" w:bidi="ar-SA"/>
    </w:rPr>
  </w:style>
  <w:style w:type="paragraph" w:customStyle="1" w:styleId="68">
    <w:name w:val="table col head"/>
    <w:basedOn w:val="1"/>
    <w:qFormat/>
    <w:uiPriority w:val="0"/>
    <w:pPr>
      <w:spacing w:after="0" w:line="240" w:lineRule="auto"/>
      <w:jc w:val="center"/>
    </w:pPr>
    <w:rPr>
      <w:rFonts w:ascii="Times New Roman" w:hAnsi="Times New Roman"/>
      <w:b/>
      <w:bCs/>
      <w:sz w:val="16"/>
      <w:szCs w:val="16"/>
      <w:lang w:eastAsia="en-US"/>
    </w:rPr>
  </w:style>
  <w:style w:type="paragraph" w:customStyle="1" w:styleId="69">
    <w:name w:val="table col subhead"/>
    <w:basedOn w:val="68"/>
    <w:qFormat/>
    <w:uiPriority w:val="0"/>
    <w:rPr>
      <w:i/>
      <w:iCs/>
      <w:sz w:val="15"/>
      <w:szCs w:val="15"/>
    </w:rPr>
  </w:style>
  <w:style w:type="paragraph" w:customStyle="1" w:styleId="70">
    <w:name w:val="table copy"/>
    <w:qFormat/>
    <w:uiPriority w:val="0"/>
    <w:pPr>
      <w:jc w:val="both"/>
    </w:pPr>
    <w:rPr>
      <w:rFonts w:ascii="Times New Roman" w:hAnsi="Times New Roman" w:eastAsia="宋体" w:cs="Times New Roman"/>
      <w:sz w:val="16"/>
      <w:szCs w:val="16"/>
      <w:lang w:val="en-US" w:eastAsia="en-US" w:bidi="ar-SA"/>
    </w:rPr>
  </w:style>
  <w:style w:type="paragraph" w:customStyle="1" w:styleId="71">
    <w:name w:val="table footnote"/>
    <w:qFormat/>
    <w:uiPriority w:val="0"/>
    <w:pPr>
      <w:spacing w:before="60" w:after="30"/>
      <w:jc w:val="right"/>
    </w:pPr>
    <w:rPr>
      <w:rFonts w:ascii="Times New Roman" w:hAnsi="Times New Roman" w:eastAsia="宋体" w:cs="Times New Roman"/>
      <w:sz w:val="12"/>
      <w:szCs w:val="12"/>
      <w:lang w:val="en-US" w:eastAsia="en-US" w:bidi="ar-SA"/>
    </w:rPr>
  </w:style>
  <w:style w:type="paragraph" w:customStyle="1" w:styleId="72">
    <w:name w:val="table head"/>
    <w:qFormat/>
    <w:uiPriority w:val="0"/>
    <w:pPr>
      <w:numPr>
        <w:ilvl w:val="0"/>
        <w:numId w:val="6"/>
      </w:numPr>
      <w:spacing w:before="240" w:after="120" w:line="216" w:lineRule="auto"/>
      <w:jc w:val="center"/>
    </w:pPr>
    <w:rPr>
      <w:rFonts w:ascii="Times New Roman" w:hAnsi="Times New Roman" w:eastAsia="宋体" w:cs="Times New Roman"/>
      <w:smallCaps/>
      <w:sz w:val="16"/>
      <w:szCs w:val="16"/>
      <w:lang w:val="en-US" w:eastAsia="en-US" w:bidi="ar-SA"/>
    </w:rPr>
  </w:style>
  <w:style w:type="paragraph" w:customStyle="1" w:styleId="73">
    <w:name w:val="Style Abstract + Italic"/>
    <w:basedOn w:val="56"/>
    <w:link w:val="75"/>
    <w:qFormat/>
    <w:uiPriority w:val="0"/>
    <w:rPr>
      <w:rFonts w:eastAsia="MS Mincho"/>
      <w:i/>
      <w:iCs/>
    </w:rPr>
  </w:style>
  <w:style w:type="character" w:customStyle="1" w:styleId="74">
    <w:name w:val="Abstract Char"/>
    <w:basedOn w:val="17"/>
    <w:link w:val="56"/>
    <w:qFormat/>
    <w:locked/>
    <w:uiPriority w:val="0"/>
    <w:rPr>
      <w:rFonts w:ascii="Times New Roman" w:hAnsi="Times New Roman"/>
      <w:b/>
      <w:bCs/>
      <w:sz w:val="18"/>
      <w:szCs w:val="18"/>
      <w:lang w:val="en-US" w:eastAsia="en-US" w:bidi="ar-SA"/>
    </w:rPr>
  </w:style>
  <w:style w:type="character" w:customStyle="1" w:styleId="75">
    <w:name w:val="Style Abstract + Italic Char"/>
    <w:basedOn w:val="74"/>
    <w:link w:val="73"/>
    <w:qFormat/>
    <w:locked/>
    <w:uiPriority w:val="0"/>
    <w:rPr>
      <w:rFonts w:ascii="Times New Roman" w:hAnsi="Times New Roman" w:eastAsia="MS Mincho"/>
      <w:i/>
      <w:iCs/>
      <w:sz w:val="18"/>
      <w:szCs w:val="18"/>
      <w:lang w:val="en-US" w:eastAsia="en-US" w:bidi="ar-SA"/>
    </w:rPr>
  </w:style>
  <w:style w:type="character" w:customStyle="1" w:styleId="76">
    <w:name w:val="页脚 Char"/>
    <w:basedOn w:val="17"/>
    <w:link w:val="14"/>
    <w:qFormat/>
    <w:uiPriority w:val="0"/>
    <w:rPr>
      <w:sz w:val="18"/>
      <w:szCs w:val="18"/>
    </w:rPr>
  </w:style>
  <w:style w:type="character" w:customStyle="1" w:styleId="77">
    <w:name w:val="标题1"/>
    <w:basedOn w:val="17"/>
    <w:qFormat/>
    <w:uiPriority w:val="0"/>
  </w:style>
  <w:style w:type="paragraph" w:customStyle="1" w:styleId="78">
    <w:name w:val="MTDisplayEquation"/>
    <w:basedOn w:val="1"/>
    <w:next w:val="1"/>
    <w:link w:val="79"/>
    <w:qFormat/>
    <w:uiPriority w:val="0"/>
    <w:pPr>
      <w:tabs>
        <w:tab w:val="center" w:pos="4160"/>
        <w:tab w:val="right" w:pos="8300"/>
      </w:tabs>
      <w:spacing w:after="0" w:line="240" w:lineRule="auto"/>
    </w:pPr>
    <w:rPr>
      <w:sz w:val="24"/>
      <w:szCs w:val="24"/>
    </w:rPr>
  </w:style>
  <w:style w:type="character" w:customStyle="1" w:styleId="79">
    <w:name w:val="MTDisplayEquation Char"/>
    <w:basedOn w:val="17"/>
    <w:link w:val="78"/>
    <w:qFormat/>
    <w:uiPriority w:val="0"/>
    <w:rPr>
      <w:sz w:val="24"/>
      <w:szCs w:val="24"/>
    </w:rPr>
  </w:style>
  <w:style w:type="paragraph" w:customStyle="1" w:styleId="80">
    <w:name w:val="Char1 Char Char1 Char"/>
    <w:basedOn w:val="1"/>
    <w:qFormat/>
    <w:uiPriority w:val="0"/>
    <w:pPr>
      <w:tabs>
        <w:tab w:val="left" w:pos="540"/>
        <w:tab w:val="left" w:pos="1260"/>
        <w:tab w:val="left" w:pos="1800"/>
      </w:tabs>
      <w:spacing w:before="240" w:after="160" w:line="240" w:lineRule="exact"/>
    </w:pPr>
    <w:rPr>
      <w:rFonts w:ascii="Verdana" w:hAnsi="Verdana" w:eastAsia="Batang"/>
      <w:sz w:val="24"/>
      <w:szCs w:val="20"/>
      <w:lang w:eastAsia="en-US"/>
    </w:rPr>
  </w:style>
  <w:style w:type="character" w:customStyle="1" w:styleId="81">
    <w:name w:val="占位符文本1"/>
    <w:basedOn w:val="17"/>
    <w:semiHidden/>
    <w:qFormat/>
    <w:uiPriority w:val="99"/>
    <w:rPr>
      <w:color w:val="808080"/>
    </w:rPr>
  </w:style>
  <w:style w:type="paragraph" w:customStyle="1" w:styleId="82">
    <w:name w:val="스타일 스타일 스타일 스타일 양쪽 첫 줄:  2 글자 + 첫 줄:  2 글자 + 첫 줄:  2 글자 + 첫 줄:  2..."/>
    <w:basedOn w:val="1"/>
    <w:link w:val="83"/>
    <w:qFormat/>
    <w:uiPriority w:val="0"/>
    <w:pPr>
      <w:spacing w:after="180" w:line="336" w:lineRule="auto"/>
      <w:ind w:firstLine="200" w:firstLineChars="200"/>
      <w:jc w:val="both"/>
    </w:pPr>
    <w:rPr>
      <w:rFonts w:ascii="Times New Roman" w:hAnsi="Times New Roman" w:eastAsia="Malgun Gothic"/>
      <w:sz w:val="20"/>
      <w:szCs w:val="20"/>
      <w:lang w:val="en-GB" w:eastAsia="en-US"/>
    </w:rPr>
  </w:style>
  <w:style w:type="character" w:customStyle="1" w:styleId="83">
    <w:name w:val="스타일 스타일 스타일 스타일 양쪽 첫 줄:  2 글자 + 첫 줄:  2 글자 + 첫 줄:  2 글자 + 첫 줄:  2... Char"/>
    <w:link w:val="82"/>
    <w:qFormat/>
    <w:uiPriority w:val="0"/>
    <w:rPr>
      <w:rFonts w:ascii="Times New Roman" w:hAnsi="Times New Roman" w:eastAsia="Malgun Gothic"/>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3"/>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DCC5C2-E4D3-4DCD-8749-5E463D633B7D}">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Pages>
  <Words>1562</Words>
  <Characters>8904</Characters>
  <Lines>74</Lines>
  <Paragraphs>20</Paragraphs>
  <ScaleCrop>false</ScaleCrop>
  <LinksUpToDate>false</LinksUpToDate>
  <CharactersWithSpaces>10446</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2017-06-16T03:33:00Z</dcterms:created>
  <dc:creator>ZTE</dc:creator>
  <cp:lastModifiedBy>Hao Wu</cp:lastModifiedBy>
  <dcterms:modified xsi:type="dcterms:W3CDTF">2017-08-08T13:32:37Z</dcterms:modified>
  <dc:title>3GPP TSG-RAN WG1 #70</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